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EC" w:rsidRPr="00820D27" w:rsidRDefault="006812EC" w:rsidP="00F108E4">
      <w:pPr>
        <w:jc w:val="right"/>
        <w:rPr>
          <w:rFonts w:ascii="Times New Roman" w:hAnsi="Times New Roman"/>
          <w:sz w:val="24"/>
          <w:szCs w:val="24"/>
        </w:rPr>
      </w:pPr>
      <w:r w:rsidRPr="00820D27">
        <w:rPr>
          <w:rFonts w:ascii="Times New Roman" w:hAnsi="Times New Roman"/>
          <w:sz w:val="24"/>
          <w:szCs w:val="24"/>
        </w:rPr>
        <w:t xml:space="preserve">Příloha </w:t>
      </w:r>
      <w:r w:rsidR="00AF7C7F">
        <w:rPr>
          <w:rFonts w:ascii="Times New Roman" w:hAnsi="Times New Roman"/>
          <w:sz w:val="24"/>
          <w:szCs w:val="24"/>
        </w:rPr>
        <w:t>OBCE č. 2</w:t>
      </w:r>
    </w:p>
    <w:p w:rsidR="006812EC" w:rsidRPr="000F5B3A" w:rsidRDefault="006812EC" w:rsidP="006812EC">
      <w:pPr>
        <w:rPr>
          <w:rFonts w:ascii="Times New Roman" w:hAnsi="Times New Roman"/>
          <w:b/>
          <w:sz w:val="24"/>
          <w:szCs w:val="24"/>
        </w:rPr>
      </w:pPr>
      <w:r>
        <w:rPr>
          <w:rFonts w:ascii="Times New Roman" w:hAnsi="Times New Roman"/>
          <w:b/>
          <w:sz w:val="24"/>
          <w:szCs w:val="24"/>
        </w:rPr>
        <w:t xml:space="preserve">                      </w:t>
      </w:r>
      <w:r w:rsidRPr="000F5B3A">
        <w:rPr>
          <w:rFonts w:ascii="Times New Roman" w:hAnsi="Times New Roman"/>
          <w:b/>
          <w:sz w:val="24"/>
          <w:szCs w:val="24"/>
        </w:rPr>
        <w:t>Postup pro stanovení výše příspěvku na výkon státní správy</w:t>
      </w:r>
    </w:p>
    <w:p w:rsidR="006812EC" w:rsidRPr="000F5B3A" w:rsidRDefault="006812EC" w:rsidP="006812EC">
      <w:pPr>
        <w:widowControl w:val="0"/>
        <w:autoSpaceDE w:val="0"/>
        <w:autoSpaceDN w:val="0"/>
        <w:adjustRightInd w:val="0"/>
        <w:spacing w:after="0" w:line="240" w:lineRule="auto"/>
        <w:jc w:val="center"/>
        <w:rPr>
          <w:rFonts w:ascii="Times New Roman" w:hAnsi="Times New Roman"/>
          <w:b/>
          <w:bCs/>
          <w:sz w:val="24"/>
          <w:szCs w:val="24"/>
        </w:rPr>
      </w:pPr>
      <w:r w:rsidRPr="000F5B3A">
        <w:rPr>
          <w:rFonts w:ascii="Times New Roman" w:hAnsi="Times New Roman"/>
          <w:b/>
          <w:bCs/>
          <w:sz w:val="24"/>
          <w:szCs w:val="24"/>
        </w:rPr>
        <w:t xml:space="preserve">jednotlivým obcím a hlavnímu městu Praze </w:t>
      </w:r>
    </w:p>
    <w:p w:rsidR="006812EC" w:rsidRPr="000F5B3A" w:rsidRDefault="006812EC" w:rsidP="006812EC">
      <w:pPr>
        <w:widowControl w:val="0"/>
        <w:autoSpaceDE w:val="0"/>
        <w:autoSpaceDN w:val="0"/>
        <w:adjustRightInd w:val="0"/>
        <w:spacing w:after="0" w:line="240" w:lineRule="auto"/>
        <w:rPr>
          <w:rFonts w:ascii="Times New Roman" w:hAnsi="Times New Roman"/>
          <w:b/>
          <w:bCs/>
          <w:sz w:val="24"/>
          <w:szCs w:val="24"/>
        </w:rPr>
      </w:pPr>
    </w:p>
    <w:p w:rsidR="006812EC" w:rsidRPr="000F5B3A" w:rsidRDefault="006812EC" w:rsidP="006812EC">
      <w:pPr>
        <w:widowControl w:val="0"/>
        <w:numPr>
          <w:ilvl w:val="0"/>
          <w:numId w:val="1"/>
        </w:numPr>
        <w:autoSpaceDE w:val="0"/>
        <w:autoSpaceDN w:val="0"/>
        <w:adjustRightInd w:val="0"/>
        <w:spacing w:after="0" w:line="240" w:lineRule="auto"/>
        <w:ind w:left="284" w:hanging="284"/>
        <w:jc w:val="both"/>
        <w:rPr>
          <w:rFonts w:ascii="Times New Roman" w:hAnsi="Times New Roman"/>
          <w:b/>
          <w:bCs/>
          <w:sz w:val="24"/>
          <w:szCs w:val="24"/>
        </w:rPr>
      </w:pPr>
      <w:r w:rsidRPr="000F5B3A">
        <w:rPr>
          <w:rFonts w:ascii="Times New Roman" w:hAnsi="Times New Roman"/>
          <w:b/>
          <w:bCs/>
          <w:sz w:val="24"/>
          <w:szCs w:val="24"/>
        </w:rPr>
        <w:t>Postup pro stanovení výše příspěvku na výkon státní správy jednotlivým obcím</w:t>
      </w:r>
      <w:r w:rsidRPr="000F5B3A">
        <w:rPr>
          <w:rFonts w:ascii="Times New Roman" w:hAnsi="Times New Roman"/>
          <w:bCs/>
          <w:sz w:val="20"/>
          <w:szCs w:val="20"/>
          <w:vertAlign w:val="superscript"/>
        </w:rPr>
        <w:t>1)</w:t>
      </w:r>
      <w:r w:rsidRPr="000F5B3A">
        <w:rPr>
          <w:rFonts w:ascii="Times New Roman" w:hAnsi="Times New Roman"/>
          <w:b/>
          <w:bCs/>
          <w:sz w:val="24"/>
          <w:szCs w:val="24"/>
        </w:rPr>
        <w:t xml:space="preserve"> </w:t>
      </w:r>
    </w:p>
    <w:p w:rsidR="006812EC" w:rsidRPr="000F5B3A" w:rsidRDefault="006812EC" w:rsidP="006812EC">
      <w:pPr>
        <w:widowControl w:val="0"/>
        <w:autoSpaceDE w:val="0"/>
        <w:autoSpaceDN w:val="0"/>
        <w:adjustRightInd w:val="0"/>
        <w:spacing w:after="0" w:line="240" w:lineRule="auto"/>
        <w:ind w:left="1080"/>
        <w:jc w:val="both"/>
        <w:rPr>
          <w:rFonts w:ascii="Times New Roman" w:hAnsi="Times New Roman"/>
          <w:b/>
          <w:bCs/>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A) Obce (s výjimkou obcí s rozšířenou působností) </w:t>
      </w:r>
    </w:p>
    <w:p w:rsidR="006812EC" w:rsidRPr="000F5B3A" w:rsidRDefault="006812EC" w:rsidP="006812EC">
      <w:pPr>
        <w:widowControl w:val="0"/>
        <w:autoSpaceDE w:val="0"/>
        <w:autoSpaceDN w:val="0"/>
        <w:adjustRightInd w:val="0"/>
        <w:spacing w:after="0" w:line="240" w:lineRule="auto"/>
        <w:rPr>
          <w:rFonts w:ascii="Arial" w:hAnsi="Arial" w:cs="Arial"/>
          <w:b/>
          <w:bCs/>
          <w:sz w:val="16"/>
          <w:szCs w:val="16"/>
        </w:rPr>
      </w:pPr>
      <w:r w:rsidRPr="000F5B3A">
        <w:rPr>
          <w:rFonts w:ascii="Arial" w:hAnsi="Arial" w:cs="Arial"/>
          <w:b/>
          <w:bCs/>
          <w:sz w:val="16"/>
          <w:szCs w:val="16"/>
        </w:rPr>
        <w:t xml:space="preserve"> </w:t>
      </w:r>
    </w:p>
    <w:p w:rsidR="006812EC" w:rsidRPr="00635CB8"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Výše příspěvku (P) se stanoví jako součet částek vypočítaných podle rozsahu působnosti na základě níže uvedeného vzorce</w:t>
      </w:r>
      <w:r w:rsidRPr="000F5B3A">
        <w:rPr>
          <w:rFonts w:ascii="Times New Roman" w:hAnsi="Times New Roman"/>
          <w:sz w:val="20"/>
          <w:szCs w:val="20"/>
          <w:vertAlign w:val="superscript"/>
        </w:rPr>
        <w:t>2) 3)</w:t>
      </w:r>
      <w:r w:rsidRPr="000F5B3A">
        <w:rPr>
          <w:rFonts w:ascii="Times New Roman" w:hAnsi="Times New Roman"/>
          <w:sz w:val="20"/>
          <w:szCs w:val="20"/>
        </w:rPr>
        <w:t>.</w:t>
      </w:r>
      <w:r w:rsidR="00CB1A72">
        <w:rPr>
          <w:rFonts w:ascii="Times New Roman" w:hAnsi="Times New Roman"/>
          <w:sz w:val="20"/>
          <w:szCs w:val="20"/>
        </w:rPr>
        <w:t xml:space="preserve"> </w:t>
      </w:r>
      <w:r w:rsidR="002833CA" w:rsidRPr="00635CB8">
        <w:rPr>
          <w:rFonts w:ascii="Times New Roman" w:hAnsi="Times New Roman"/>
          <w:sz w:val="20"/>
          <w:szCs w:val="20"/>
        </w:rPr>
        <w:t>U některých obcí se navíc přičte částka uvedené v části D).</w:t>
      </w:r>
    </w:p>
    <w:p w:rsidR="006812EC" w:rsidRPr="00635CB8" w:rsidRDefault="006812EC" w:rsidP="006812EC">
      <w:pPr>
        <w:widowControl w:val="0"/>
        <w:autoSpaceDE w:val="0"/>
        <w:autoSpaceDN w:val="0"/>
        <w:adjustRightInd w:val="0"/>
        <w:spacing w:after="0" w:line="240" w:lineRule="auto"/>
        <w:jc w:val="both"/>
        <w:rPr>
          <w:rFonts w:ascii="Times New Roman" w:hAnsi="Times New Roman"/>
          <w:sz w:val="20"/>
          <w:szCs w:val="20"/>
        </w:rPr>
      </w:pPr>
    </w:p>
    <w:tbl>
      <w:tblPr>
        <w:tblW w:w="9072" w:type="dxa"/>
        <w:tblLayout w:type="fixed"/>
        <w:tblCellMar>
          <w:left w:w="0" w:type="dxa"/>
          <w:right w:w="0" w:type="dxa"/>
        </w:tblCellMar>
        <w:tblLook w:val="0000" w:firstRow="0" w:lastRow="0" w:firstColumn="0" w:lastColumn="0" w:noHBand="0" w:noVBand="0"/>
      </w:tblPr>
      <w:tblGrid>
        <w:gridCol w:w="9072"/>
      </w:tblGrid>
      <w:tr w:rsidR="006812EC" w:rsidRPr="000F5B3A" w:rsidTr="002A2260">
        <w:trPr>
          <w:trHeight w:val="211"/>
        </w:trPr>
        <w:tc>
          <w:tcPr>
            <w:tcW w:w="9072" w:type="dxa"/>
            <w:tcBorders>
              <w:top w:val="nil"/>
              <w:left w:val="nil"/>
              <w:bottom w:val="nil"/>
              <w:right w:val="nil"/>
            </w:tcBorders>
            <w:vAlign w:val="bottom"/>
          </w:tcPr>
          <w:p w:rsidR="006812EC" w:rsidRPr="000F5B3A" w:rsidRDefault="006812EC" w:rsidP="002A2260">
            <w:pPr>
              <w:widowControl w:val="0"/>
              <w:autoSpaceDE w:val="0"/>
              <w:autoSpaceDN w:val="0"/>
              <w:adjustRightInd w:val="0"/>
              <w:spacing w:after="0" w:line="240" w:lineRule="auto"/>
              <w:rPr>
                <w:rFonts w:ascii="Times New Roman" w:hAnsi="Times New Roman"/>
                <w:i/>
                <w:sz w:val="20"/>
                <w:szCs w:val="20"/>
              </w:rPr>
            </w:pPr>
            <w:r w:rsidRPr="000F5B3A">
              <w:rPr>
                <w:rFonts w:ascii="Times New Roman" w:hAnsi="Times New Roman"/>
                <w:i/>
                <w:sz w:val="20"/>
                <w:szCs w:val="20"/>
              </w:rPr>
              <w:t>Vzorec:</w:t>
            </w:r>
          </w:p>
          <w:p w:rsidR="006812EC" w:rsidRPr="000F5B3A" w:rsidRDefault="006812EC" w:rsidP="002A2260">
            <w:pPr>
              <w:widowControl w:val="0"/>
              <w:autoSpaceDE w:val="0"/>
              <w:autoSpaceDN w:val="0"/>
              <w:adjustRightInd w:val="0"/>
              <w:spacing w:after="0" w:line="240" w:lineRule="auto"/>
              <w:ind w:left="4253" w:hanging="992"/>
              <w:rPr>
                <w:rFonts w:ascii="Times New Roman" w:hAnsi="Times New Roman"/>
                <w:i/>
                <w:sz w:val="20"/>
                <w:szCs w:val="20"/>
              </w:rPr>
            </w:pPr>
            <w:r w:rsidRPr="000F5B3A">
              <w:rPr>
                <w:rFonts w:ascii="Times New Roman" w:hAnsi="Times New Roman"/>
                <w:i/>
                <w:position w:val="-28"/>
                <w:sz w:val="20"/>
                <w:szCs w:val="20"/>
              </w:rPr>
              <w:object w:dxaOrig="1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33.2pt" o:ole="">
                  <v:imagedata r:id="rId8" o:title=""/>
                </v:shape>
                <o:OLEObject Type="Embed" ProgID="Equation.3" ShapeID="_x0000_i1025" DrawAspect="Content" ObjectID="_1606804351" r:id="rId9"/>
              </w:object>
            </w:r>
          </w:p>
          <w:p w:rsidR="006812EC" w:rsidRPr="000F5B3A" w:rsidRDefault="006812EC" w:rsidP="002A2260">
            <w:pPr>
              <w:widowControl w:val="0"/>
              <w:autoSpaceDE w:val="0"/>
              <w:autoSpaceDN w:val="0"/>
              <w:adjustRightInd w:val="0"/>
              <w:spacing w:after="0" w:line="240" w:lineRule="auto"/>
              <w:rPr>
                <w:rFonts w:ascii="Times New Roman" w:hAnsi="Times New Roman"/>
                <w:i/>
                <w:sz w:val="20"/>
                <w:szCs w:val="20"/>
              </w:rPr>
            </w:pPr>
          </w:p>
        </w:tc>
      </w:tr>
    </w:tbl>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Výše příspěvku</w:t>
      </w:r>
      <w:r w:rsidRPr="000F5B3A">
        <w:rPr>
          <w:rFonts w:ascii="Times New Roman" w:hAnsi="Times New Roman"/>
          <w:sz w:val="20"/>
          <w:szCs w:val="20"/>
          <w:vertAlign w:val="superscript"/>
        </w:rPr>
        <w:t>4)</w:t>
      </w:r>
      <w:r w:rsidRPr="000F5B3A">
        <w:rPr>
          <w:rFonts w:ascii="Times New Roman" w:hAnsi="Times New Roman"/>
          <w:sz w:val="20"/>
          <w:szCs w:val="20"/>
        </w:rPr>
        <w:t xml:space="preserve"> je závislá: </w:t>
      </w:r>
    </w:p>
    <w:p w:rsidR="006812EC" w:rsidRPr="000F5B3A" w:rsidRDefault="006812EC" w:rsidP="006812EC">
      <w:pPr>
        <w:widowControl w:val="0"/>
        <w:autoSpaceDE w:val="0"/>
        <w:autoSpaceDN w:val="0"/>
        <w:adjustRightInd w:val="0"/>
        <w:spacing w:after="0" w:line="240" w:lineRule="auto"/>
        <w:ind w:left="284"/>
        <w:jc w:val="both"/>
        <w:rPr>
          <w:rFonts w:ascii="Times New Roman" w:hAnsi="Times New Roman"/>
          <w:sz w:val="20"/>
          <w:szCs w:val="20"/>
        </w:rPr>
      </w:pPr>
      <w:r w:rsidRPr="000F5B3A">
        <w:rPr>
          <w:rFonts w:ascii="Times New Roman" w:hAnsi="Times New Roman"/>
          <w:sz w:val="20"/>
          <w:szCs w:val="20"/>
        </w:rPr>
        <w:t xml:space="preserve">- na rozsahu přenesené působnosti k výkonu státní správy, </w:t>
      </w:r>
    </w:p>
    <w:p w:rsidR="006812EC" w:rsidRPr="000F5B3A" w:rsidRDefault="006812EC" w:rsidP="006812EC">
      <w:pPr>
        <w:widowControl w:val="0"/>
        <w:autoSpaceDE w:val="0"/>
        <w:autoSpaceDN w:val="0"/>
        <w:adjustRightInd w:val="0"/>
        <w:spacing w:after="0" w:line="240" w:lineRule="auto"/>
        <w:ind w:left="284"/>
        <w:jc w:val="both"/>
        <w:rPr>
          <w:rFonts w:ascii="Times New Roman" w:hAnsi="Times New Roman"/>
          <w:sz w:val="20"/>
          <w:szCs w:val="20"/>
        </w:rPr>
      </w:pPr>
      <w:r w:rsidRPr="000F5B3A">
        <w:rPr>
          <w:rFonts w:ascii="Times New Roman" w:hAnsi="Times New Roman"/>
          <w:sz w:val="20"/>
          <w:szCs w:val="20"/>
        </w:rPr>
        <w:t>- na velikosti správního obvodu (SO)</w:t>
      </w:r>
      <w:r w:rsidRPr="000F5B3A">
        <w:rPr>
          <w:rFonts w:ascii="Times New Roman" w:hAnsi="Times New Roman"/>
          <w:sz w:val="20"/>
          <w:szCs w:val="20"/>
          <w:vertAlign w:val="superscript"/>
        </w:rPr>
        <w:t>5)</w:t>
      </w:r>
      <w:r w:rsidRPr="000F5B3A">
        <w:rPr>
          <w:rFonts w:ascii="Times New Roman" w:hAnsi="Times New Roman"/>
          <w:sz w:val="20"/>
          <w:szCs w:val="20"/>
        </w:rPr>
        <w:t xml:space="preserve"> vyjádřené počtem obyvatel. </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2833CA" w:rsidRPr="00635CB8" w:rsidRDefault="002833CA" w:rsidP="006812EC">
      <w:pPr>
        <w:widowControl w:val="0"/>
        <w:autoSpaceDE w:val="0"/>
        <w:autoSpaceDN w:val="0"/>
        <w:adjustRightInd w:val="0"/>
        <w:spacing w:after="0" w:line="240" w:lineRule="auto"/>
        <w:jc w:val="both"/>
        <w:rPr>
          <w:rFonts w:ascii="Times New Roman" w:hAnsi="Times New Roman"/>
          <w:sz w:val="20"/>
          <w:szCs w:val="20"/>
        </w:rPr>
      </w:pPr>
      <w:r w:rsidRPr="00635CB8">
        <w:rPr>
          <w:rFonts w:ascii="Times New Roman" w:hAnsi="Times New Roman"/>
          <w:sz w:val="20"/>
          <w:szCs w:val="20"/>
        </w:rPr>
        <w:t>Hodnoty koeficientů "A" a "B" jsou stanoveny v závislosti na rozsahu přenesené působnosti k výkonu státní správy a na celkovém objemu finančních prostředků pro daný rozsah působnosti (např. u obce, která je stavebním úřadem, se sčítají dvě částky vypočítané na základě dosazení koeficientů "A" a "B" uvedených v tabulce v řádcích 1 a 3 do výše uvedeného vzorce).</w:t>
      </w:r>
    </w:p>
    <w:p w:rsidR="006812EC" w:rsidRPr="00635CB8"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2833CA" w:rsidRPr="00635CB8" w:rsidRDefault="002833CA" w:rsidP="006812EC">
      <w:pPr>
        <w:widowControl w:val="0"/>
        <w:autoSpaceDE w:val="0"/>
        <w:autoSpaceDN w:val="0"/>
        <w:adjustRightInd w:val="0"/>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409"/>
      </w:tblGrid>
      <w:tr w:rsidR="00635CB8" w:rsidRPr="00635CB8" w:rsidTr="00721C9C">
        <w:trPr>
          <w:trHeight w:val="460"/>
        </w:trPr>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3CA" w:rsidRPr="00635CB8" w:rsidRDefault="002833CA" w:rsidP="00721C9C">
            <w:pPr>
              <w:widowControl w:val="0"/>
              <w:autoSpaceDE w:val="0"/>
              <w:autoSpaceDN w:val="0"/>
              <w:adjustRightInd w:val="0"/>
              <w:spacing w:after="0" w:line="240" w:lineRule="auto"/>
              <w:jc w:val="center"/>
              <w:rPr>
                <w:rFonts w:ascii="Times New Roman" w:hAnsi="Times New Roman"/>
                <w:b/>
                <w:sz w:val="20"/>
                <w:szCs w:val="20"/>
              </w:rPr>
            </w:pPr>
            <w:r w:rsidRPr="00635CB8">
              <w:rPr>
                <w:rFonts w:ascii="Times New Roman" w:hAnsi="Times New Roman"/>
                <w:b/>
                <w:sz w:val="20"/>
                <w:szCs w:val="20"/>
              </w:rPr>
              <w:t>Rozsah působnosti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3CA" w:rsidRPr="00635CB8" w:rsidRDefault="002833CA" w:rsidP="00721C9C">
            <w:pPr>
              <w:widowControl w:val="0"/>
              <w:autoSpaceDE w:val="0"/>
              <w:autoSpaceDN w:val="0"/>
              <w:adjustRightInd w:val="0"/>
              <w:spacing w:after="0" w:line="240" w:lineRule="auto"/>
              <w:jc w:val="center"/>
              <w:rPr>
                <w:rFonts w:ascii="Times New Roman" w:hAnsi="Times New Roman"/>
                <w:b/>
                <w:sz w:val="20"/>
                <w:szCs w:val="20"/>
              </w:rPr>
            </w:pPr>
            <w:r w:rsidRPr="00635CB8">
              <w:rPr>
                <w:rFonts w:ascii="Times New Roman" w:hAnsi="Times New Roman"/>
                <w:b/>
                <w:sz w:val="20"/>
                <w:szCs w:val="20"/>
              </w:rPr>
              <w:t>A</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3CA" w:rsidRPr="00635CB8" w:rsidRDefault="002833CA" w:rsidP="00721C9C">
            <w:pPr>
              <w:widowControl w:val="0"/>
              <w:autoSpaceDE w:val="0"/>
              <w:autoSpaceDN w:val="0"/>
              <w:adjustRightInd w:val="0"/>
              <w:spacing w:after="0" w:line="240" w:lineRule="auto"/>
              <w:jc w:val="center"/>
              <w:rPr>
                <w:rFonts w:ascii="Times New Roman" w:hAnsi="Times New Roman"/>
                <w:b/>
                <w:sz w:val="20"/>
                <w:szCs w:val="20"/>
              </w:rPr>
            </w:pPr>
            <w:r w:rsidRPr="00635CB8">
              <w:rPr>
                <w:rFonts w:ascii="Times New Roman" w:hAnsi="Times New Roman"/>
                <w:b/>
                <w:sz w:val="20"/>
                <w:szCs w:val="20"/>
              </w:rPr>
              <w:t>B</w:t>
            </w:r>
          </w:p>
        </w:tc>
      </w:tr>
      <w:tr w:rsidR="00635CB8" w:rsidRPr="00635CB8" w:rsidTr="00721C9C">
        <w:trPr>
          <w:trHeight w:val="460"/>
        </w:trPr>
        <w:tc>
          <w:tcPr>
            <w:tcW w:w="4395"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widowControl w:val="0"/>
              <w:autoSpaceDE w:val="0"/>
              <w:autoSpaceDN w:val="0"/>
              <w:adjustRightInd w:val="0"/>
              <w:spacing w:after="0" w:line="240" w:lineRule="auto"/>
              <w:rPr>
                <w:rFonts w:ascii="Times New Roman" w:hAnsi="Times New Roman"/>
                <w:sz w:val="20"/>
                <w:szCs w:val="20"/>
              </w:rPr>
            </w:pPr>
            <w:r w:rsidRPr="00635CB8">
              <w:rPr>
                <w:rFonts w:ascii="Times New Roman" w:hAnsi="Times New Roman"/>
                <w:sz w:val="20"/>
                <w:szCs w:val="20"/>
              </w:rPr>
              <w:t>Základní působnost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30,78548175</w:t>
            </w:r>
          </w:p>
        </w:tc>
        <w:tc>
          <w:tcPr>
            <w:tcW w:w="2409"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6830500,486</w:t>
            </w:r>
          </w:p>
        </w:tc>
      </w:tr>
      <w:tr w:rsidR="00635CB8" w:rsidRPr="00635CB8" w:rsidTr="00721C9C">
        <w:trPr>
          <w:trHeight w:val="460"/>
        </w:trPr>
        <w:tc>
          <w:tcPr>
            <w:tcW w:w="4395"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widowControl w:val="0"/>
              <w:autoSpaceDE w:val="0"/>
              <w:autoSpaceDN w:val="0"/>
              <w:adjustRightInd w:val="0"/>
              <w:spacing w:after="0" w:line="240" w:lineRule="auto"/>
              <w:rPr>
                <w:rFonts w:ascii="Times New Roman" w:hAnsi="Times New Roman"/>
                <w:sz w:val="20"/>
                <w:szCs w:val="20"/>
              </w:rPr>
            </w:pPr>
            <w:r w:rsidRPr="00635CB8">
              <w:rPr>
                <w:rFonts w:ascii="Times New Roman" w:hAnsi="Times New Roman"/>
                <w:sz w:val="20"/>
                <w:szCs w:val="20"/>
              </w:rPr>
              <w:t>Působnost matričního úřadu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142,9496688</w:t>
            </w:r>
          </w:p>
        </w:tc>
        <w:tc>
          <w:tcPr>
            <w:tcW w:w="2409"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15415649,93</w:t>
            </w:r>
          </w:p>
        </w:tc>
      </w:tr>
      <w:tr w:rsidR="00635CB8" w:rsidRPr="00635CB8" w:rsidTr="00721C9C">
        <w:trPr>
          <w:trHeight w:val="460"/>
        </w:trPr>
        <w:tc>
          <w:tcPr>
            <w:tcW w:w="4395"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widowControl w:val="0"/>
              <w:autoSpaceDE w:val="0"/>
              <w:autoSpaceDN w:val="0"/>
              <w:adjustRightInd w:val="0"/>
              <w:spacing w:after="0" w:line="240" w:lineRule="auto"/>
              <w:rPr>
                <w:rFonts w:ascii="Times New Roman" w:hAnsi="Times New Roman"/>
                <w:sz w:val="20"/>
                <w:szCs w:val="20"/>
              </w:rPr>
            </w:pPr>
            <w:r w:rsidRPr="00635CB8">
              <w:rPr>
                <w:rFonts w:ascii="Times New Roman" w:hAnsi="Times New Roman"/>
                <w:sz w:val="20"/>
                <w:szCs w:val="20"/>
              </w:rPr>
              <w:t>Působnost stavebního úřadu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67,22584295</w:t>
            </w:r>
          </w:p>
        </w:tc>
        <w:tc>
          <w:tcPr>
            <w:tcW w:w="2409"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13651966,35</w:t>
            </w:r>
          </w:p>
        </w:tc>
      </w:tr>
      <w:tr w:rsidR="00635CB8" w:rsidRPr="00635CB8" w:rsidTr="00721C9C">
        <w:trPr>
          <w:trHeight w:val="460"/>
        </w:trPr>
        <w:tc>
          <w:tcPr>
            <w:tcW w:w="4395"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widowControl w:val="0"/>
              <w:autoSpaceDE w:val="0"/>
              <w:autoSpaceDN w:val="0"/>
              <w:adjustRightInd w:val="0"/>
              <w:spacing w:after="0" w:line="240" w:lineRule="auto"/>
              <w:rPr>
                <w:rFonts w:ascii="Times New Roman" w:hAnsi="Times New Roman"/>
                <w:sz w:val="20"/>
                <w:szCs w:val="20"/>
              </w:rPr>
            </w:pPr>
            <w:r w:rsidRPr="00635CB8">
              <w:rPr>
                <w:rFonts w:ascii="Times New Roman" w:hAnsi="Times New Roman"/>
                <w:sz w:val="20"/>
                <w:szCs w:val="20"/>
              </w:rPr>
              <w:t>Působnost pověřeného obecního úřadu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263,4018458</w:t>
            </w:r>
          </w:p>
        </w:tc>
        <w:tc>
          <w:tcPr>
            <w:tcW w:w="2409" w:type="dxa"/>
            <w:tcBorders>
              <w:top w:val="single" w:sz="4" w:space="0" w:color="auto"/>
              <w:left w:val="single" w:sz="4" w:space="0" w:color="auto"/>
              <w:bottom w:val="single" w:sz="4" w:space="0" w:color="auto"/>
              <w:right w:val="single" w:sz="4" w:space="0" w:color="auto"/>
            </w:tcBorders>
            <w:vAlign w:val="center"/>
            <w:hideMark/>
          </w:tcPr>
          <w:p w:rsidR="002833CA" w:rsidRPr="00635CB8" w:rsidRDefault="002833CA" w:rsidP="00721C9C">
            <w:pPr>
              <w:spacing w:after="0" w:line="240" w:lineRule="auto"/>
              <w:jc w:val="center"/>
              <w:rPr>
                <w:rFonts w:ascii="Times New Roman" w:hAnsi="Times New Roman"/>
                <w:sz w:val="20"/>
                <w:szCs w:val="20"/>
              </w:rPr>
            </w:pPr>
            <w:r w:rsidRPr="00635CB8">
              <w:rPr>
                <w:rFonts w:ascii="Times New Roman" w:hAnsi="Times New Roman"/>
                <w:sz w:val="20"/>
                <w:szCs w:val="20"/>
              </w:rPr>
              <w:t>27427070,52</w:t>
            </w:r>
          </w:p>
        </w:tc>
      </w:tr>
    </w:tbl>
    <w:p w:rsidR="002833CA" w:rsidRPr="00635CB8" w:rsidRDefault="002833CA" w:rsidP="006812EC">
      <w:pPr>
        <w:widowControl w:val="0"/>
        <w:autoSpaceDE w:val="0"/>
        <w:autoSpaceDN w:val="0"/>
        <w:adjustRightInd w:val="0"/>
        <w:spacing w:after="0" w:line="240" w:lineRule="auto"/>
        <w:jc w:val="both"/>
        <w:rPr>
          <w:rFonts w:ascii="Times New Roman" w:hAnsi="Times New Roman"/>
          <w:sz w:val="20"/>
          <w:szCs w:val="20"/>
        </w:rPr>
      </w:pPr>
    </w:p>
    <w:p w:rsidR="006812EC" w:rsidRPr="00635CB8"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635CB8">
        <w:rPr>
          <w:rFonts w:ascii="Times New Roman" w:hAnsi="Times New Roman"/>
          <w:i/>
          <w:sz w:val="20"/>
          <w:szCs w:val="20"/>
          <w:vertAlign w:val="superscript"/>
        </w:rPr>
        <w:t>1)</w:t>
      </w:r>
      <w:r w:rsidRPr="00635CB8">
        <w:rPr>
          <w:rFonts w:ascii="Times New Roman" w:hAnsi="Times New Roman"/>
          <w:i/>
          <w:sz w:val="20"/>
          <w:szCs w:val="20"/>
        </w:rPr>
        <w:t xml:space="preserve"> </w:t>
      </w:r>
      <w:hyperlink r:id="rId10" w:history="1">
        <w:r w:rsidRPr="00635CB8">
          <w:rPr>
            <w:rFonts w:ascii="Times New Roman" w:hAnsi="Times New Roman"/>
            <w:i/>
            <w:sz w:val="20"/>
            <w:szCs w:val="20"/>
            <w:u w:val="single"/>
          </w:rPr>
          <w:t>§ 62 zákona č. 128/2000 Sb.</w:t>
        </w:r>
      </w:hyperlink>
      <w:r w:rsidRPr="00635CB8">
        <w:rPr>
          <w:rFonts w:ascii="Times New Roman" w:hAnsi="Times New Roman"/>
          <w:i/>
          <w:sz w:val="20"/>
          <w:szCs w:val="20"/>
        </w:rPr>
        <w:t xml:space="preserve">, o obcích (obecní zřízení), ve znění pozdějších předpisů.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635CB8">
        <w:rPr>
          <w:rFonts w:ascii="Times New Roman" w:hAnsi="Times New Roman"/>
          <w:i/>
          <w:sz w:val="20"/>
          <w:szCs w:val="20"/>
          <w:vertAlign w:val="superscript"/>
        </w:rPr>
        <w:t>2)</w:t>
      </w:r>
      <w:r w:rsidRPr="00635CB8">
        <w:rPr>
          <w:rFonts w:ascii="Times New Roman" w:hAnsi="Times New Roman"/>
          <w:i/>
          <w:sz w:val="20"/>
          <w:szCs w:val="20"/>
        </w:rPr>
        <w:t xml:space="preserve"> Do vzorce se dosazuje počet obyvatel správního obvodu vyjádřený v tisící</w:t>
      </w:r>
      <w:r w:rsidRPr="000F5B3A">
        <w:rPr>
          <w:rFonts w:ascii="Times New Roman" w:hAnsi="Times New Roman"/>
          <w:i/>
          <w:sz w:val="20"/>
          <w:szCs w:val="20"/>
        </w:rPr>
        <w:t xml:space="preserve">ch. U základní působnosti, kde správní obvod je menší než 300 obyvatel, je pro účely výpočtu příspěvku podle vzorce stanoven správní obvod na 300 obyvatel.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3)</w:t>
      </w:r>
      <w:r w:rsidRPr="000F5B3A">
        <w:rPr>
          <w:rFonts w:ascii="Times New Roman" w:hAnsi="Times New Roman"/>
          <w:i/>
          <w:sz w:val="20"/>
          <w:szCs w:val="20"/>
        </w:rPr>
        <w:t xml:space="preserve"> Příspěvky se podle rozsahu působnosti obce sčítají.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4)</w:t>
      </w:r>
      <w:r w:rsidRPr="000F5B3A">
        <w:rPr>
          <w:rFonts w:ascii="Times New Roman" w:hAnsi="Times New Roman"/>
          <w:i/>
          <w:sz w:val="20"/>
          <w:szCs w:val="20"/>
        </w:rPr>
        <w:t xml:space="preserve"> Pro rok 2019 byl celkový objem příspěvku valorizován o 10 %. Zohledněna byla meziroční změna počtu obyvatel. </w:t>
      </w:r>
    </w:p>
    <w:p w:rsidR="006812EC" w:rsidRPr="00635CB8"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5)</w:t>
      </w:r>
      <w:r w:rsidRPr="000F5B3A">
        <w:rPr>
          <w:rFonts w:ascii="Times New Roman" w:hAnsi="Times New Roman"/>
          <w:i/>
          <w:sz w:val="20"/>
          <w:szCs w:val="20"/>
        </w:rPr>
        <w:t xml:space="preserve"> Velikost správních obvodů je propočtena na počty obyvatel obcí podle bilance obyvatel České republiky k 1. 1. 2018 vydané Českým statistickým úřadem, podle vyhlášky č. </w:t>
      </w:r>
      <w:hyperlink r:id="rId11" w:history="1">
        <w:r w:rsidRPr="000F5B3A">
          <w:rPr>
            <w:rFonts w:ascii="Times New Roman" w:hAnsi="Times New Roman"/>
            <w:i/>
            <w:sz w:val="20"/>
            <w:szCs w:val="20"/>
            <w:u w:val="single"/>
          </w:rPr>
          <w:t>388/2002 Sb.</w:t>
        </w:r>
      </w:hyperlink>
      <w:r w:rsidRPr="000F5B3A">
        <w:rPr>
          <w:rFonts w:ascii="Times New Roman" w:hAnsi="Times New Roman"/>
          <w:i/>
          <w:sz w:val="20"/>
          <w:szCs w:val="20"/>
        </w:rPr>
        <w:t xml:space="preserve">, o stanovení správních obvodů obcí s pověřeným obecním úřadem a správních obvodů obcí s rozšířenou působností, ve znění pozdějších </w:t>
      </w:r>
      <w:r w:rsidRPr="00635CB8">
        <w:rPr>
          <w:rFonts w:ascii="Times New Roman" w:hAnsi="Times New Roman"/>
          <w:i/>
          <w:sz w:val="20"/>
          <w:szCs w:val="20"/>
        </w:rPr>
        <w:t>předpisů</w:t>
      </w:r>
      <w:r w:rsidR="002833CA" w:rsidRPr="00635CB8">
        <w:rPr>
          <w:rFonts w:ascii="Times New Roman" w:hAnsi="Times New Roman"/>
          <w:i/>
          <w:sz w:val="20"/>
          <w:szCs w:val="20"/>
        </w:rPr>
        <w:t xml:space="preserve"> </w:t>
      </w:r>
      <w:r w:rsidR="002833CA" w:rsidRPr="00A631EF">
        <w:rPr>
          <w:rFonts w:ascii="Times New Roman" w:hAnsi="Times New Roman"/>
          <w:i/>
          <w:sz w:val="20"/>
          <w:szCs w:val="20"/>
        </w:rPr>
        <w:t>a</w:t>
      </w:r>
      <w:r w:rsidR="00635CB8" w:rsidRPr="00A631EF">
        <w:rPr>
          <w:rFonts w:ascii="Times New Roman" w:hAnsi="Times New Roman"/>
          <w:i/>
          <w:sz w:val="20"/>
          <w:szCs w:val="20"/>
        </w:rPr>
        <w:t> </w:t>
      </w:r>
      <w:r w:rsidR="002833CA" w:rsidRPr="00A631EF">
        <w:rPr>
          <w:rFonts w:ascii="Times New Roman" w:hAnsi="Times New Roman"/>
          <w:i/>
          <w:sz w:val="20"/>
          <w:szCs w:val="20"/>
        </w:rPr>
        <w:t>vyhlášky č. 207/2001 Sb., kterou se provádí zákon č. 301/2000 Sb., o matrikách, jménu a příjmení a o změně některých souvisejících zákonů, ve znění pozdějších předpisů</w:t>
      </w:r>
      <w:r w:rsidR="002833CA" w:rsidRPr="00635CB8">
        <w:rPr>
          <w:rFonts w:ascii="Times New Roman" w:hAnsi="Times New Roman"/>
          <w:sz w:val="20"/>
          <w:szCs w:val="20"/>
        </w:rPr>
        <w:t>.</w:t>
      </w:r>
      <w:r w:rsidRPr="00635CB8">
        <w:rPr>
          <w:rFonts w:ascii="Times New Roman" w:hAnsi="Times New Roman"/>
          <w:i/>
          <w:sz w:val="20"/>
          <w:szCs w:val="20"/>
        </w:rPr>
        <w:t xml:space="preserve"> </w:t>
      </w:r>
    </w:p>
    <w:p w:rsidR="006812EC" w:rsidRPr="00635CB8" w:rsidRDefault="006812EC" w:rsidP="006812EC">
      <w:pPr>
        <w:widowControl w:val="0"/>
        <w:autoSpaceDE w:val="0"/>
        <w:autoSpaceDN w:val="0"/>
        <w:adjustRightInd w:val="0"/>
        <w:spacing w:after="0" w:line="240" w:lineRule="auto"/>
        <w:rPr>
          <w:rFonts w:ascii="Arial" w:hAnsi="Arial" w:cs="Arial"/>
          <w:sz w:val="20"/>
          <w:szCs w:val="20"/>
        </w:rPr>
      </w:pPr>
      <w:r w:rsidRPr="00635CB8">
        <w:rPr>
          <w:rFonts w:ascii="Arial" w:hAnsi="Arial" w:cs="Arial"/>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Celková částka příspěvku zjištěná výše uvedeným propočtem se dle matematických zásad zaokrouhluje na celé stokoruny. </w:t>
      </w:r>
    </w:p>
    <w:p w:rsidR="006812EC" w:rsidRPr="000F5B3A" w:rsidRDefault="006812EC" w:rsidP="006812EC">
      <w:pPr>
        <w:widowControl w:val="0"/>
        <w:autoSpaceDE w:val="0"/>
        <w:autoSpaceDN w:val="0"/>
        <w:adjustRightInd w:val="0"/>
        <w:spacing w:after="0" w:line="240" w:lineRule="auto"/>
        <w:jc w:val="both"/>
        <w:rPr>
          <w:rFonts w:ascii="Arial" w:hAnsi="Arial" w:cs="Arial"/>
          <w:sz w:val="16"/>
          <w:szCs w:val="16"/>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lastRenderedPageBreak/>
        <w:t xml:space="preserve">B) Obce s rozšířenou působností </w:t>
      </w:r>
    </w:p>
    <w:p w:rsidR="006812EC" w:rsidRPr="000F5B3A" w:rsidRDefault="006812EC" w:rsidP="006812EC">
      <w:pPr>
        <w:widowControl w:val="0"/>
        <w:autoSpaceDE w:val="0"/>
        <w:autoSpaceDN w:val="0"/>
        <w:adjustRightInd w:val="0"/>
        <w:spacing w:after="0" w:line="240" w:lineRule="auto"/>
        <w:rPr>
          <w:rFonts w:ascii="Arial" w:hAnsi="Arial" w:cs="Arial"/>
          <w:b/>
          <w:bCs/>
          <w:sz w:val="20"/>
          <w:szCs w:val="20"/>
        </w:rPr>
      </w:pPr>
      <w:r w:rsidRPr="000F5B3A">
        <w:rPr>
          <w:rFonts w:ascii="Arial" w:hAnsi="Arial" w:cs="Arial"/>
          <w:b/>
          <w:bCs/>
          <w:sz w:val="20"/>
          <w:szCs w:val="20"/>
        </w:rPr>
        <w:t xml:space="preserve"> </w:t>
      </w:r>
    </w:p>
    <w:p w:rsidR="006812EC" w:rsidRPr="000A0896"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A0896">
        <w:rPr>
          <w:rFonts w:ascii="Times New Roman" w:hAnsi="Times New Roman"/>
          <w:sz w:val="20"/>
          <w:szCs w:val="20"/>
        </w:rPr>
        <w:t>Výše příspěvku se stanoví jako součet částek vypočtených podle vzorce 1 a vzorce 2.</w:t>
      </w:r>
      <w:r w:rsidRPr="000A0896">
        <w:rPr>
          <w:rFonts w:ascii="Times New Roman" w:hAnsi="Times New Roman"/>
          <w:sz w:val="20"/>
          <w:szCs w:val="20"/>
          <w:vertAlign w:val="superscript"/>
        </w:rPr>
        <w:t>3) 6) 7)</w:t>
      </w:r>
      <w:r w:rsidRPr="000A0896">
        <w:rPr>
          <w:rFonts w:ascii="Times New Roman" w:hAnsi="Times New Roman"/>
          <w:sz w:val="20"/>
          <w:szCs w:val="20"/>
        </w:rPr>
        <w:t xml:space="preserve"> </w:t>
      </w:r>
      <w:r w:rsidR="00A37250" w:rsidRPr="000A0896">
        <w:rPr>
          <w:rFonts w:ascii="Times New Roman" w:hAnsi="Times New Roman"/>
          <w:sz w:val="20"/>
          <w:szCs w:val="20"/>
        </w:rPr>
        <w:t>U některých obcí se navíc přičte částka uvedená v </w:t>
      </w:r>
      <w:proofErr w:type="gramStart"/>
      <w:r w:rsidR="00A37250" w:rsidRPr="000A0896">
        <w:rPr>
          <w:rFonts w:ascii="Times New Roman" w:hAnsi="Times New Roman"/>
          <w:sz w:val="20"/>
          <w:szCs w:val="20"/>
        </w:rPr>
        <w:t>části C,) D), E), F) a G).</w:t>
      </w:r>
      <w:proofErr w:type="gramEnd"/>
    </w:p>
    <w:p w:rsidR="006812EC" w:rsidRPr="000F5B3A" w:rsidRDefault="006812EC" w:rsidP="006812EC">
      <w:pPr>
        <w:widowControl w:val="0"/>
        <w:tabs>
          <w:tab w:val="left" w:pos="5670"/>
        </w:tabs>
        <w:overflowPunct w:val="0"/>
        <w:autoSpaceDE w:val="0"/>
        <w:autoSpaceDN w:val="0"/>
        <w:adjustRightInd w:val="0"/>
        <w:spacing w:after="120" w:line="254" w:lineRule="auto"/>
        <w:ind w:right="102"/>
        <w:jc w:val="both"/>
        <w:rPr>
          <w:rFonts w:ascii="Times New Roman" w:hAnsi="Times New Roman"/>
          <w:i/>
          <w:sz w:val="20"/>
          <w:szCs w:val="20"/>
        </w:rPr>
      </w:pPr>
    </w:p>
    <w:p w:rsidR="006812EC" w:rsidRPr="000F5B3A" w:rsidRDefault="006812EC" w:rsidP="006812EC">
      <w:pPr>
        <w:widowControl w:val="0"/>
        <w:tabs>
          <w:tab w:val="left" w:pos="5670"/>
        </w:tabs>
        <w:overflowPunct w:val="0"/>
        <w:autoSpaceDE w:val="0"/>
        <w:autoSpaceDN w:val="0"/>
        <w:adjustRightInd w:val="0"/>
        <w:spacing w:after="120" w:line="254" w:lineRule="auto"/>
        <w:ind w:right="102" w:firstLine="284"/>
        <w:jc w:val="both"/>
        <w:rPr>
          <w:rFonts w:ascii="Times New Roman" w:hAnsi="Times New Roman"/>
          <w:i/>
          <w:sz w:val="20"/>
          <w:szCs w:val="20"/>
        </w:rPr>
      </w:pPr>
      <w:r w:rsidRPr="000F5B3A">
        <w:rPr>
          <w:rFonts w:ascii="Times New Roman" w:hAnsi="Times New Roman"/>
          <w:i/>
          <w:sz w:val="20"/>
          <w:szCs w:val="20"/>
        </w:rPr>
        <w:t xml:space="preserve">Vzorec 1: </w:t>
      </w:r>
      <w:r w:rsidRPr="000F5B3A">
        <w:rPr>
          <w:rFonts w:ascii="Times New Roman" w:hAnsi="Times New Roman"/>
          <w:i/>
          <w:sz w:val="20"/>
          <w:szCs w:val="20"/>
        </w:rPr>
        <w:tab/>
        <w:t>Vzorec 2:</w:t>
      </w:r>
    </w:p>
    <w:p w:rsidR="006812EC" w:rsidRPr="000F5B3A" w:rsidRDefault="006812EC" w:rsidP="006812EC">
      <w:pPr>
        <w:widowControl w:val="0"/>
        <w:tabs>
          <w:tab w:val="left" w:pos="5670"/>
        </w:tabs>
        <w:overflowPunct w:val="0"/>
        <w:autoSpaceDE w:val="0"/>
        <w:autoSpaceDN w:val="0"/>
        <w:adjustRightInd w:val="0"/>
        <w:spacing w:after="0" w:line="255" w:lineRule="auto"/>
        <w:ind w:right="100" w:firstLine="284"/>
        <w:jc w:val="both"/>
        <w:rPr>
          <w:rFonts w:ascii="Times New Roman" w:hAnsi="Times New Roman"/>
          <w:i/>
          <w:sz w:val="20"/>
          <w:szCs w:val="20"/>
        </w:rPr>
      </w:pPr>
      <w:r w:rsidRPr="000F5B3A">
        <w:rPr>
          <w:rFonts w:ascii="Times New Roman" w:hAnsi="Times New Roman"/>
          <w:i/>
          <w:position w:val="-28"/>
          <w:sz w:val="20"/>
          <w:szCs w:val="20"/>
        </w:rPr>
        <w:object w:dxaOrig="1920" w:dyaOrig="660">
          <v:shape id="_x0000_i1026" type="#_x0000_t75" style="width:95.8pt;height:33.2pt" o:ole="">
            <v:imagedata r:id="rId12" o:title=""/>
          </v:shape>
          <o:OLEObject Type="Embed" ProgID="Equation.3" ShapeID="_x0000_i1026" DrawAspect="Content" ObjectID="_1606804352" r:id="rId13"/>
        </w:object>
      </w:r>
      <w:r w:rsidRPr="000F5B3A">
        <w:rPr>
          <w:rFonts w:ascii="Times New Roman" w:hAnsi="Times New Roman"/>
          <w:i/>
          <w:sz w:val="20"/>
          <w:szCs w:val="20"/>
        </w:rPr>
        <w:tab/>
      </w:r>
      <w:r w:rsidRPr="000F5B3A">
        <w:rPr>
          <w:rFonts w:ascii="Times New Roman" w:hAnsi="Times New Roman"/>
          <w:i/>
          <w:position w:val="-28"/>
          <w:sz w:val="20"/>
          <w:szCs w:val="20"/>
        </w:rPr>
        <w:object w:dxaOrig="2260" w:dyaOrig="680">
          <v:shape id="_x0000_i1027" type="#_x0000_t75" style="width:112.7pt;height:33.8pt" o:ole="">
            <v:imagedata r:id="rId14" o:title=""/>
          </v:shape>
          <o:OLEObject Type="Embed" ProgID="Equation.3" ShapeID="_x0000_i1027" DrawAspect="Content" ObjectID="_1606804353" r:id="rId15"/>
        </w:objec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Výše příspěvku</w:t>
      </w:r>
      <w:r w:rsidRPr="000F5B3A">
        <w:rPr>
          <w:rFonts w:ascii="Times New Roman" w:hAnsi="Times New Roman"/>
          <w:sz w:val="20"/>
          <w:szCs w:val="20"/>
          <w:vertAlign w:val="superscript"/>
        </w:rPr>
        <w:t>8)</w:t>
      </w:r>
      <w:r w:rsidRPr="000F5B3A">
        <w:rPr>
          <w:rFonts w:ascii="Times New Roman" w:hAnsi="Times New Roman"/>
          <w:sz w:val="20"/>
          <w:szCs w:val="20"/>
        </w:rPr>
        <w:t xml:space="preserve"> je závislá: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 na rozsahu přenesené působnosti k výkonu státní správy,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na velikosti správního obvodu (SO)</w:t>
      </w:r>
      <w:r w:rsidRPr="000F5B3A">
        <w:rPr>
          <w:rFonts w:ascii="Times New Roman" w:hAnsi="Times New Roman"/>
          <w:sz w:val="20"/>
          <w:szCs w:val="20"/>
          <w:vertAlign w:val="superscript"/>
        </w:rPr>
        <w:t>5)</w:t>
      </w:r>
      <w:r w:rsidRPr="000F5B3A">
        <w:rPr>
          <w:rFonts w:ascii="Times New Roman" w:hAnsi="Times New Roman"/>
          <w:sz w:val="20"/>
          <w:szCs w:val="20"/>
        </w:rPr>
        <w:t xml:space="preserve"> vyjádřené počtem obyvatel,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na podílu velikosti správního centra a velikosti správního obvodu, kde velikost správního centra (SC)</w:t>
      </w:r>
      <w:r w:rsidRPr="000F5B3A">
        <w:rPr>
          <w:rFonts w:ascii="Times New Roman" w:hAnsi="Times New Roman"/>
          <w:sz w:val="20"/>
          <w:szCs w:val="20"/>
          <w:vertAlign w:val="superscript"/>
        </w:rPr>
        <w:t>5)</w:t>
      </w:r>
      <w:r w:rsidRPr="000F5B3A">
        <w:rPr>
          <w:rFonts w:ascii="Times New Roman" w:hAnsi="Times New Roman"/>
          <w:sz w:val="20"/>
          <w:szCs w:val="20"/>
        </w:rPr>
        <w:t xml:space="preserve"> je vyjádřená počtem obyvatel obce. </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Hodnoty koeficientů „A“, „B“ a „C“ jsou stanoveny v závislosti na rozsahu přenesené působnosti k výkonu státní správy a na celkovém objemu finančních prostředků pro daný rozsah působnosti a činí: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696"/>
        <w:gridCol w:w="1838"/>
        <w:gridCol w:w="1837"/>
      </w:tblGrid>
      <w:tr w:rsidR="000A0896" w:rsidRPr="000A0896" w:rsidTr="00014988">
        <w:trPr>
          <w:trHeight w:val="451"/>
        </w:trPr>
        <w:tc>
          <w:tcPr>
            <w:tcW w:w="3676" w:type="dxa"/>
            <w:shd w:val="clear" w:color="auto" w:fill="FFFFFF"/>
            <w:vAlign w:val="center"/>
          </w:tcPr>
          <w:p w:rsidR="00A37250" w:rsidRPr="000A0896" w:rsidRDefault="00A37250" w:rsidP="00721C9C">
            <w:pPr>
              <w:widowControl w:val="0"/>
              <w:autoSpaceDE w:val="0"/>
              <w:autoSpaceDN w:val="0"/>
              <w:adjustRightInd w:val="0"/>
              <w:spacing w:after="0" w:line="240" w:lineRule="auto"/>
              <w:jc w:val="center"/>
              <w:rPr>
                <w:rFonts w:ascii="Times New Roman" w:hAnsi="Times New Roman"/>
                <w:b/>
                <w:sz w:val="20"/>
                <w:szCs w:val="20"/>
              </w:rPr>
            </w:pPr>
            <w:r w:rsidRPr="000A0896">
              <w:rPr>
                <w:rFonts w:ascii="Times New Roman" w:hAnsi="Times New Roman"/>
                <w:b/>
                <w:sz w:val="20"/>
                <w:szCs w:val="20"/>
              </w:rPr>
              <w:t>Rozsah působnosti</w:t>
            </w:r>
          </w:p>
        </w:tc>
        <w:tc>
          <w:tcPr>
            <w:tcW w:w="1696" w:type="dxa"/>
            <w:shd w:val="clear" w:color="auto" w:fill="FFFFFF"/>
            <w:vAlign w:val="center"/>
          </w:tcPr>
          <w:p w:rsidR="00A37250" w:rsidRPr="000A0896" w:rsidRDefault="00A37250" w:rsidP="00721C9C">
            <w:pPr>
              <w:widowControl w:val="0"/>
              <w:autoSpaceDE w:val="0"/>
              <w:autoSpaceDN w:val="0"/>
              <w:adjustRightInd w:val="0"/>
              <w:spacing w:after="0" w:line="240" w:lineRule="auto"/>
              <w:jc w:val="center"/>
              <w:rPr>
                <w:rFonts w:ascii="Times New Roman" w:hAnsi="Times New Roman"/>
                <w:b/>
                <w:sz w:val="20"/>
                <w:szCs w:val="20"/>
              </w:rPr>
            </w:pPr>
            <w:r w:rsidRPr="000A0896">
              <w:rPr>
                <w:rFonts w:ascii="Times New Roman" w:hAnsi="Times New Roman"/>
                <w:b/>
                <w:sz w:val="20"/>
                <w:szCs w:val="20"/>
              </w:rPr>
              <w:t>A</w:t>
            </w:r>
          </w:p>
        </w:tc>
        <w:tc>
          <w:tcPr>
            <w:tcW w:w="1838" w:type="dxa"/>
            <w:shd w:val="clear" w:color="auto" w:fill="FFFFFF"/>
            <w:vAlign w:val="center"/>
          </w:tcPr>
          <w:p w:rsidR="00A37250" w:rsidRPr="000A0896" w:rsidRDefault="00A37250" w:rsidP="00721C9C">
            <w:pPr>
              <w:widowControl w:val="0"/>
              <w:autoSpaceDE w:val="0"/>
              <w:autoSpaceDN w:val="0"/>
              <w:adjustRightInd w:val="0"/>
              <w:spacing w:after="0" w:line="240" w:lineRule="auto"/>
              <w:jc w:val="center"/>
              <w:rPr>
                <w:rFonts w:ascii="Times New Roman" w:hAnsi="Times New Roman"/>
                <w:b/>
                <w:sz w:val="20"/>
                <w:szCs w:val="20"/>
              </w:rPr>
            </w:pPr>
            <w:r w:rsidRPr="000A0896">
              <w:rPr>
                <w:rFonts w:ascii="Times New Roman" w:hAnsi="Times New Roman"/>
                <w:b/>
                <w:sz w:val="20"/>
                <w:szCs w:val="20"/>
              </w:rPr>
              <w:t>B</w:t>
            </w:r>
          </w:p>
        </w:tc>
        <w:tc>
          <w:tcPr>
            <w:tcW w:w="1837" w:type="dxa"/>
            <w:shd w:val="clear" w:color="auto" w:fill="FFFFFF"/>
            <w:vAlign w:val="center"/>
          </w:tcPr>
          <w:p w:rsidR="00A37250" w:rsidRPr="000A0896" w:rsidRDefault="00A37250" w:rsidP="00721C9C">
            <w:pPr>
              <w:widowControl w:val="0"/>
              <w:autoSpaceDE w:val="0"/>
              <w:autoSpaceDN w:val="0"/>
              <w:adjustRightInd w:val="0"/>
              <w:spacing w:after="0" w:line="240" w:lineRule="auto"/>
              <w:jc w:val="center"/>
              <w:rPr>
                <w:rFonts w:ascii="Times New Roman" w:hAnsi="Times New Roman"/>
                <w:b/>
                <w:sz w:val="20"/>
                <w:szCs w:val="20"/>
              </w:rPr>
            </w:pPr>
            <w:r w:rsidRPr="000A0896">
              <w:rPr>
                <w:rFonts w:ascii="Times New Roman" w:hAnsi="Times New Roman"/>
                <w:b/>
                <w:sz w:val="20"/>
                <w:szCs w:val="20"/>
              </w:rPr>
              <w:t>C</w:t>
            </w:r>
          </w:p>
        </w:tc>
      </w:tr>
      <w:tr w:rsidR="000A0896" w:rsidRPr="000A0896" w:rsidTr="00014988">
        <w:trPr>
          <w:trHeight w:val="446"/>
        </w:trPr>
        <w:tc>
          <w:tcPr>
            <w:tcW w:w="3676" w:type="dxa"/>
            <w:shd w:val="clear" w:color="auto" w:fill="auto"/>
            <w:vAlign w:val="center"/>
          </w:tcPr>
          <w:p w:rsidR="00A37250" w:rsidRPr="000A0896" w:rsidRDefault="00A37250" w:rsidP="00721C9C">
            <w:pPr>
              <w:widowControl w:val="0"/>
              <w:autoSpaceDE w:val="0"/>
              <w:autoSpaceDN w:val="0"/>
              <w:adjustRightInd w:val="0"/>
              <w:spacing w:after="0" w:line="240" w:lineRule="auto"/>
              <w:rPr>
                <w:rFonts w:ascii="Times New Roman" w:hAnsi="Times New Roman"/>
                <w:sz w:val="20"/>
                <w:szCs w:val="20"/>
              </w:rPr>
            </w:pPr>
            <w:r w:rsidRPr="000A0896">
              <w:rPr>
                <w:rFonts w:ascii="Times New Roman" w:hAnsi="Times New Roman"/>
                <w:sz w:val="20"/>
                <w:szCs w:val="20"/>
              </w:rPr>
              <w:t>Základní působnost</w:t>
            </w:r>
          </w:p>
        </w:tc>
        <w:tc>
          <w:tcPr>
            <w:tcW w:w="1696"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33,609889589</w:t>
            </w:r>
          </w:p>
        </w:tc>
        <w:tc>
          <w:tcPr>
            <w:tcW w:w="1838"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1495203,631</w:t>
            </w:r>
          </w:p>
        </w:tc>
        <w:tc>
          <w:tcPr>
            <w:tcW w:w="1837"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0</w:t>
            </w:r>
          </w:p>
        </w:tc>
      </w:tr>
      <w:tr w:rsidR="000A0896" w:rsidRPr="000A0896" w:rsidTr="00014988">
        <w:trPr>
          <w:trHeight w:val="466"/>
        </w:trPr>
        <w:tc>
          <w:tcPr>
            <w:tcW w:w="3676" w:type="dxa"/>
            <w:shd w:val="clear" w:color="auto" w:fill="auto"/>
            <w:vAlign w:val="center"/>
          </w:tcPr>
          <w:p w:rsidR="00A37250" w:rsidRPr="000A0896" w:rsidRDefault="00A37250" w:rsidP="00721C9C">
            <w:pPr>
              <w:widowControl w:val="0"/>
              <w:autoSpaceDE w:val="0"/>
              <w:autoSpaceDN w:val="0"/>
              <w:adjustRightInd w:val="0"/>
              <w:spacing w:after="0" w:line="240" w:lineRule="auto"/>
              <w:rPr>
                <w:rFonts w:ascii="Times New Roman" w:hAnsi="Times New Roman"/>
                <w:sz w:val="20"/>
                <w:szCs w:val="20"/>
              </w:rPr>
            </w:pPr>
            <w:r w:rsidRPr="000A0896">
              <w:rPr>
                <w:rFonts w:ascii="Times New Roman" w:hAnsi="Times New Roman"/>
                <w:sz w:val="20"/>
                <w:szCs w:val="20"/>
              </w:rPr>
              <w:t>Působnost matričního úřadu</w:t>
            </w:r>
          </w:p>
        </w:tc>
        <w:tc>
          <w:tcPr>
            <w:tcW w:w="1696"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169,031640224</w:t>
            </w:r>
          </w:p>
        </w:tc>
        <w:tc>
          <w:tcPr>
            <w:tcW w:w="1838"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6129265,023</w:t>
            </w:r>
          </w:p>
        </w:tc>
        <w:tc>
          <w:tcPr>
            <w:tcW w:w="1837"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5139,847748</w:t>
            </w:r>
          </w:p>
        </w:tc>
      </w:tr>
      <w:tr w:rsidR="000A0896" w:rsidRPr="000A0896" w:rsidTr="00014988">
        <w:trPr>
          <w:trHeight w:val="466"/>
        </w:trPr>
        <w:tc>
          <w:tcPr>
            <w:tcW w:w="3676" w:type="dxa"/>
            <w:shd w:val="clear" w:color="auto" w:fill="auto"/>
            <w:vAlign w:val="center"/>
          </w:tcPr>
          <w:p w:rsidR="00A37250" w:rsidRPr="000A0896" w:rsidRDefault="00A37250" w:rsidP="00721C9C">
            <w:pPr>
              <w:widowControl w:val="0"/>
              <w:autoSpaceDE w:val="0"/>
              <w:autoSpaceDN w:val="0"/>
              <w:adjustRightInd w:val="0"/>
              <w:spacing w:after="0" w:line="240" w:lineRule="auto"/>
              <w:rPr>
                <w:rFonts w:ascii="Times New Roman" w:hAnsi="Times New Roman"/>
                <w:sz w:val="20"/>
                <w:szCs w:val="20"/>
              </w:rPr>
            </w:pPr>
            <w:r w:rsidRPr="000A0896">
              <w:rPr>
                <w:rFonts w:ascii="Times New Roman" w:hAnsi="Times New Roman"/>
                <w:sz w:val="20"/>
                <w:szCs w:val="20"/>
              </w:rPr>
              <w:t>Působnost stavebního úřadu</w:t>
            </w:r>
          </w:p>
        </w:tc>
        <w:tc>
          <w:tcPr>
            <w:tcW w:w="1696"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42,8809797</w:t>
            </w:r>
          </w:p>
        </w:tc>
        <w:tc>
          <w:tcPr>
            <w:tcW w:w="1838"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4782091,854</w:t>
            </w:r>
          </w:p>
        </w:tc>
        <w:tc>
          <w:tcPr>
            <w:tcW w:w="1837"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9503,536255</w:t>
            </w:r>
          </w:p>
        </w:tc>
      </w:tr>
      <w:tr w:rsidR="000A0896" w:rsidRPr="000A0896" w:rsidTr="00014988">
        <w:trPr>
          <w:trHeight w:val="476"/>
        </w:trPr>
        <w:tc>
          <w:tcPr>
            <w:tcW w:w="3676" w:type="dxa"/>
            <w:shd w:val="clear" w:color="auto" w:fill="auto"/>
            <w:vAlign w:val="center"/>
          </w:tcPr>
          <w:p w:rsidR="00A37250" w:rsidRPr="000A0896" w:rsidRDefault="00A37250" w:rsidP="00721C9C">
            <w:pPr>
              <w:widowControl w:val="0"/>
              <w:autoSpaceDE w:val="0"/>
              <w:autoSpaceDN w:val="0"/>
              <w:adjustRightInd w:val="0"/>
              <w:spacing w:after="0" w:line="240" w:lineRule="auto"/>
              <w:rPr>
                <w:rFonts w:ascii="Times New Roman" w:hAnsi="Times New Roman"/>
                <w:sz w:val="20"/>
                <w:szCs w:val="20"/>
              </w:rPr>
            </w:pPr>
            <w:r w:rsidRPr="000A0896">
              <w:rPr>
                <w:rFonts w:ascii="Times New Roman" w:hAnsi="Times New Roman"/>
                <w:sz w:val="20"/>
                <w:szCs w:val="20"/>
              </w:rPr>
              <w:t>Působnost pověřeného obecního úřadu</w:t>
            </w:r>
          </w:p>
        </w:tc>
        <w:tc>
          <w:tcPr>
            <w:tcW w:w="1696"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52,498429686</w:t>
            </w:r>
          </w:p>
        </w:tc>
        <w:tc>
          <w:tcPr>
            <w:tcW w:w="1838"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8663660,48</w:t>
            </w:r>
          </w:p>
        </w:tc>
        <w:tc>
          <w:tcPr>
            <w:tcW w:w="1837"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10815,67996</w:t>
            </w:r>
          </w:p>
        </w:tc>
      </w:tr>
      <w:tr w:rsidR="000A0896" w:rsidRPr="000A0896" w:rsidTr="00014988">
        <w:trPr>
          <w:trHeight w:val="485"/>
        </w:trPr>
        <w:tc>
          <w:tcPr>
            <w:tcW w:w="3676" w:type="dxa"/>
            <w:shd w:val="clear" w:color="auto" w:fill="auto"/>
            <w:vAlign w:val="center"/>
          </w:tcPr>
          <w:p w:rsidR="00A37250" w:rsidRPr="000A0896" w:rsidRDefault="00A37250" w:rsidP="00721C9C">
            <w:pPr>
              <w:widowControl w:val="0"/>
              <w:autoSpaceDE w:val="0"/>
              <w:autoSpaceDN w:val="0"/>
              <w:adjustRightInd w:val="0"/>
              <w:spacing w:after="0" w:line="240" w:lineRule="auto"/>
              <w:rPr>
                <w:rFonts w:ascii="Times New Roman" w:hAnsi="Times New Roman"/>
                <w:sz w:val="20"/>
                <w:szCs w:val="20"/>
              </w:rPr>
            </w:pPr>
            <w:r w:rsidRPr="000A0896">
              <w:rPr>
                <w:rFonts w:ascii="Times New Roman" w:hAnsi="Times New Roman"/>
                <w:sz w:val="20"/>
                <w:szCs w:val="20"/>
              </w:rPr>
              <w:t>Působnost obce s rozšířenou působností</w:t>
            </w:r>
          </w:p>
        </w:tc>
        <w:tc>
          <w:tcPr>
            <w:tcW w:w="1696"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1,889534799</w:t>
            </w:r>
          </w:p>
        </w:tc>
        <w:tc>
          <w:tcPr>
            <w:tcW w:w="1838" w:type="dxa"/>
            <w:shd w:val="clear" w:color="auto" w:fill="auto"/>
            <w:vAlign w:val="center"/>
          </w:tcPr>
          <w:p w:rsidR="00A37250" w:rsidRPr="000A0896" w:rsidRDefault="00A37250" w:rsidP="00721C9C">
            <w:pPr>
              <w:spacing w:after="0" w:line="240" w:lineRule="auto"/>
              <w:jc w:val="center"/>
              <w:rPr>
                <w:rFonts w:ascii="Times New Roman" w:hAnsi="Times New Roman"/>
                <w:sz w:val="20"/>
                <w:szCs w:val="20"/>
              </w:rPr>
            </w:pPr>
            <w:r w:rsidRPr="000A0896">
              <w:rPr>
                <w:rFonts w:ascii="Times New Roman" w:hAnsi="Times New Roman"/>
                <w:sz w:val="20"/>
                <w:szCs w:val="20"/>
              </w:rPr>
              <w:t>3950471,562</w:t>
            </w:r>
          </w:p>
        </w:tc>
        <w:tc>
          <w:tcPr>
            <w:tcW w:w="1837" w:type="dxa"/>
            <w:shd w:val="clear" w:color="auto" w:fill="auto"/>
            <w:vAlign w:val="center"/>
          </w:tcPr>
          <w:p w:rsidR="00A37250" w:rsidRPr="000A0896" w:rsidRDefault="00A37250" w:rsidP="00A37250">
            <w:pPr>
              <w:spacing w:after="0" w:line="240" w:lineRule="auto"/>
              <w:jc w:val="center"/>
              <w:rPr>
                <w:rFonts w:ascii="Times New Roman" w:hAnsi="Times New Roman"/>
                <w:sz w:val="20"/>
                <w:szCs w:val="20"/>
              </w:rPr>
            </w:pPr>
            <w:r w:rsidRPr="000A0896">
              <w:rPr>
                <w:rFonts w:ascii="Times New Roman" w:hAnsi="Times New Roman"/>
                <w:sz w:val="20"/>
                <w:szCs w:val="20"/>
              </w:rPr>
              <w:t>34503,20351</w:t>
            </w:r>
          </w:p>
        </w:tc>
      </w:tr>
    </w:tbl>
    <w:p w:rsidR="00635CB8" w:rsidRDefault="00635CB8" w:rsidP="006812EC">
      <w:pPr>
        <w:widowControl w:val="0"/>
        <w:autoSpaceDE w:val="0"/>
        <w:autoSpaceDN w:val="0"/>
        <w:adjustRightInd w:val="0"/>
        <w:spacing w:after="0" w:line="240" w:lineRule="auto"/>
        <w:jc w:val="both"/>
        <w:rPr>
          <w:rFonts w:ascii="Times New Roman" w:hAnsi="Times New Roman"/>
          <w:i/>
          <w:sz w:val="20"/>
          <w:szCs w:val="20"/>
          <w:vertAlign w:val="superscript"/>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 xml:space="preserve">6) </w:t>
      </w:r>
      <w:r w:rsidRPr="000F5B3A">
        <w:rPr>
          <w:rFonts w:ascii="Times New Roman" w:hAnsi="Times New Roman"/>
          <w:i/>
          <w:sz w:val="20"/>
          <w:szCs w:val="20"/>
        </w:rPr>
        <w:t xml:space="preserve">Do vzorce 1 a vzorce 2 se dosazuje počet obyvatel správního obvodu (správního centra) vyjádřený v tisících. V případě, že správní obvod obce s rozšířenou působností je menší než 15 tis. obyvatel, je pro účely výpočtu příspěvku podle vzorce 1 stanoven správní obvod na 15 tis. obyvatel.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7)</w:t>
      </w:r>
      <w:r w:rsidRPr="000F5B3A">
        <w:rPr>
          <w:rFonts w:ascii="Times New Roman" w:hAnsi="Times New Roman"/>
          <w:i/>
          <w:sz w:val="20"/>
          <w:szCs w:val="20"/>
        </w:rPr>
        <w:t xml:space="preserve"> Výpočet podle vzorce 1 a vzorce 2 se nepoužije pro stanovení výše příspěvku u hlavního města Prahy.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8)</w:t>
      </w:r>
      <w:r w:rsidRPr="000F5B3A">
        <w:rPr>
          <w:rFonts w:ascii="Times New Roman" w:hAnsi="Times New Roman"/>
          <w:i/>
          <w:sz w:val="20"/>
          <w:szCs w:val="20"/>
        </w:rPr>
        <w:t xml:space="preserve"> Pro rok 2019 byl celkový objem příspěvku valorizován o 10 %. Zohledněna byla meziroční změna počtu obyvatel.</w:t>
      </w:r>
    </w:p>
    <w:p w:rsidR="006812EC" w:rsidRPr="000F5B3A" w:rsidRDefault="006812EC" w:rsidP="006812EC">
      <w:pPr>
        <w:widowControl w:val="0"/>
        <w:autoSpaceDE w:val="0"/>
        <w:autoSpaceDN w:val="0"/>
        <w:adjustRightInd w:val="0"/>
        <w:spacing w:after="0" w:line="240" w:lineRule="auto"/>
        <w:jc w:val="both"/>
        <w:rPr>
          <w:rFonts w:ascii="Arial" w:hAnsi="Arial" w:cs="Arial"/>
          <w:sz w:val="16"/>
          <w:szCs w:val="16"/>
        </w:rPr>
      </w:pPr>
      <w:r w:rsidRPr="000F5B3A">
        <w:rPr>
          <w:rFonts w:ascii="Arial" w:hAnsi="Arial" w:cs="Arial"/>
          <w:sz w:val="16"/>
          <w:szCs w:val="16"/>
        </w:rPr>
        <w:t xml:space="preserve">      </w:t>
      </w:r>
    </w:p>
    <w:p w:rsidR="006812EC" w:rsidRPr="000F5B3A" w:rsidRDefault="006812EC" w:rsidP="006812EC">
      <w:pPr>
        <w:widowControl w:val="0"/>
        <w:autoSpaceDE w:val="0"/>
        <w:autoSpaceDN w:val="0"/>
        <w:adjustRightInd w:val="0"/>
        <w:spacing w:after="0" w:line="240" w:lineRule="auto"/>
        <w:jc w:val="both"/>
        <w:rPr>
          <w:rFonts w:ascii="Arial" w:hAnsi="Arial" w:cs="Arial"/>
          <w:sz w:val="16"/>
          <w:szCs w:val="16"/>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C) Obce s rozšířenou působností se zvláštním postavením </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0"/>
          <w:szCs w:val="20"/>
        </w:rPr>
      </w:pP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95"/>
      </w:tblGrid>
      <w:tr w:rsidR="006812EC" w:rsidRPr="000F5B3A" w:rsidTr="00014988">
        <w:trPr>
          <w:trHeight w:val="404"/>
        </w:trPr>
        <w:tc>
          <w:tcPr>
            <w:tcW w:w="4584"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
                <w:bCs/>
                <w:sz w:val="20"/>
                <w:szCs w:val="20"/>
              </w:rPr>
            </w:pPr>
            <w:r w:rsidRPr="000F5B3A">
              <w:rPr>
                <w:rFonts w:ascii="Times New Roman" w:hAnsi="Times New Roman"/>
                <w:b/>
                <w:bCs/>
                <w:sz w:val="20"/>
                <w:szCs w:val="20"/>
              </w:rPr>
              <w:t>Obec</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
                <w:bCs/>
                <w:sz w:val="20"/>
                <w:szCs w:val="20"/>
              </w:rPr>
            </w:pPr>
            <w:r w:rsidRPr="000F5B3A">
              <w:rPr>
                <w:rFonts w:ascii="Times New Roman" w:hAnsi="Times New Roman"/>
                <w:b/>
                <w:bCs/>
                <w:sz w:val="20"/>
                <w:szCs w:val="20"/>
              </w:rPr>
              <w:t>Výše příspěvku v Kč</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Brandýs nad Labem-Stará Boleslav</w:t>
            </w:r>
            <w:r w:rsidRPr="000F5B3A">
              <w:rPr>
                <w:rFonts w:ascii="Times New Roman" w:hAnsi="Times New Roman"/>
                <w:sz w:val="20"/>
                <w:szCs w:val="20"/>
                <w:vertAlign w:val="superscript"/>
              </w:rPr>
              <w:t>9)10)</w:t>
            </w:r>
          </w:p>
        </w:tc>
        <w:tc>
          <w:tcPr>
            <w:tcW w:w="4695" w:type="dxa"/>
            <w:shd w:val="clear" w:color="auto" w:fill="FFFFFF"/>
            <w:vAlign w:val="center"/>
          </w:tcPr>
          <w:p w:rsidR="006812EC" w:rsidRPr="000A0896" w:rsidRDefault="0052538D"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A0896">
              <w:rPr>
                <w:rFonts w:ascii="Times New Roman" w:hAnsi="Times New Roman"/>
                <w:sz w:val="20"/>
                <w:szCs w:val="20"/>
              </w:rPr>
              <w:t>2 565 959</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Černošice</w:t>
            </w:r>
            <w:r w:rsidRPr="000F5B3A">
              <w:rPr>
                <w:rFonts w:ascii="Times New Roman" w:hAnsi="Times New Roman"/>
                <w:sz w:val="20"/>
                <w:szCs w:val="20"/>
                <w:vertAlign w:val="superscript"/>
              </w:rPr>
              <w:t>9)</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7 633 994</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Nýřany</w:t>
            </w:r>
            <w:r w:rsidRPr="000F5B3A">
              <w:rPr>
                <w:rFonts w:ascii="Times New Roman" w:hAnsi="Times New Roman"/>
                <w:sz w:val="20"/>
                <w:szCs w:val="20"/>
                <w:vertAlign w:val="superscript"/>
              </w:rPr>
              <w:t>9)</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7 633 994</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Šlapanice</w:t>
            </w:r>
            <w:r w:rsidRPr="000F5B3A">
              <w:rPr>
                <w:rFonts w:ascii="Times New Roman" w:hAnsi="Times New Roman"/>
                <w:sz w:val="20"/>
                <w:szCs w:val="20"/>
                <w:vertAlign w:val="superscript"/>
              </w:rPr>
              <w:t>9)</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7 633 994</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Brno</w:t>
            </w:r>
            <w:r w:rsidRPr="000F5B3A">
              <w:rPr>
                <w:rFonts w:ascii="Times New Roman" w:hAnsi="Times New Roman"/>
                <w:sz w:val="20"/>
                <w:szCs w:val="20"/>
                <w:vertAlign w:val="superscript"/>
              </w:rPr>
              <w:t>11)12)13)</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182 190 463</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Ostrava</w:t>
            </w:r>
            <w:r w:rsidRPr="000F5B3A">
              <w:rPr>
                <w:rFonts w:ascii="Times New Roman" w:hAnsi="Times New Roman"/>
                <w:sz w:val="20"/>
                <w:szCs w:val="20"/>
                <w:vertAlign w:val="superscript"/>
              </w:rPr>
              <w:t>1</w:t>
            </w:r>
            <w:r>
              <w:rPr>
                <w:rFonts w:ascii="Times New Roman" w:hAnsi="Times New Roman"/>
                <w:sz w:val="20"/>
                <w:szCs w:val="20"/>
                <w:vertAlign w:val="superscript"/>
              </w:rPr>
              <w:t>1</w:t>
            </w:r>
            <w:r w:rsidRPr="000F5B3A">
              <w:rPr>
                <w:rFonts w:ascii="Times New Roman" w:hAnsi="Times New Roman"/>
                <w:sz w:val="20"/>
                <w:szCs w:val="20"/>
                <w:vertAlign w:val="superscript"/>
              </w:rPr>
              <w:t>)</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127 504 157</w:t>
            </w:r>
          </w:p>
        </w:tc>
      </w:tr>
      <w:tr w:rsidR="006812EC" w:rsidRPr="000F5B3A" w:rsidTr="00014988">
        <w:trPr>
          <w:trHeight w:val="404"/>
        </w:trPr>
        <w:tc>
          <w:tcPr>
            <w:tcW w:w="4584" w:type="dxa"/>
            <w:shd w:val="clear" w:color="auto" w:fill="auto"/>
            <w:vAlign w:val="center"/>
          </w:tcPr>
          <w:p w:rsidR="006812EC" w:rsidRPr="000F5B3A" w:rsidRDefault="006812EC" w:rsidP="002A2260">
            <w:pPr>
              <w:widowControl w:val="0"/>
              <w:autoSpaceDE w:val="0"/>
              <w:autoSpaceDN w:val="0"/>
              <w:adjustRightInd w:val="0"/>
              <w:spacing w:after="0" w:line="240" w:lineRule="auto"/>
              <w:contextualSpacing/>
              <w:rPr>
                <w:rFonts w:ascii="Times New Roman" w:hAnsi="Times New Roman"/>
                <w:bCs/>
                <w:sz w:val="20"/>
                <w:szCs w:val="20"/>
              </w:rPr>
            </w:pPr>
            <w:r w:rsidRPr="000F5B3A">
              <w:rPr>
                <w:rFonts w:ascii="Times New Roman" w:hAnsi="Times New Roman"/>
                <w:sz w:val="20"/>
                <w:szCs w:val="20"/>
              </w:rPr>
              <w:t>Plzeň</w:t>
            </w:r>
            <w:r w:rsidRPr="000F5B3A">
              <w:rPr>
                <w:rFonts w:ascii="Times New Roman" w:hAnsi="Times New Roman"/>
                <w:sz w:val="20"/>
                <w:szCs w:val="20"/>
                <w:vertAlign w:val="superscript"/>
              </w:rPr>
              <w:t>1</w:t>
            </w:r>
            <w:r>
              <w:rPr>
                <w:rFonts w:ascii="Times New Roman" w:hAnsi="Times New Roman"/>
                <w:sz w:val="20"/>
                <w:szCs w:val="20"/>
                <w:vertAlign w:val="superscript"/>
              </w:rPr>
              <w:t>1)</w:t>
            </w:r>
          </w:p>
        </w:tc>
        <w:tc>
          <w:tcPr>
            <w:tcW w:w="4695" w:type="dxa"/>
            <w:shd w:val="clear" w:color="auto" w:fill="FFFFFF"/>
            <w:vAlign w:val="center"/>
          </w:tcPr>
          <w:p w:rsidR="006812EC" w:rsidRPr="000F5B3A" w:rsidRDefault="006812EC" w:rsidP="002A2260">
            <w:pPr>
              <w:widowControl w:val="0"/>
              <w:autoSpaceDE w:val="0"/>
              <w:autoSpaceDN w:val="0"/>
              <w:adjustRightInd w:val="0"/>
              <w:spacing w:after="0" w:line="240" w:lineRule="auto"/>
              <w:contextualSpacing/>
              <w:jc w:val="center"/>
              <w:rPr>
                <w:rFonts w:ascii="Times New Roman" w:hAnsi="Times New Roman"/>
                <w:bCs/>
                <w:sz w:val="20"/>
                <w:szCs w:val="20"/>
              </w:rPr>
            </w:pPr>
            <w:r w:rsidRPr="000F5B3A">
              <w:rPr>
                <w:rFonts w:ascii="Times New Roman" w:hAnsi="Times New Roman"/>
                <w:sz w:val="20"/>
                <w:szCs w:val="20"/>
              </w:rPr>
              <w:t>25 629 505</w:t>
            </w:r>
          </w:p>
        </w:tc>
      </w:tr>
    </w:tbl>
    <w:p w:rsidR="006812EC" w:rsidRPr="000F5B3A" w:rsidRDefault="006812EC" w:rsidP="006812EC">
      <w:pPr>
        <w:widowControl w:val="0"/>
        <w:autoSpaceDE w:val="0"/>
        <w:autoSpaceDN w:val="0"/>
        <w:adjustRightInd w:val="0"/>
        <w:spacing w:after="0" w:line="240" w:lineRule="auto"/>
        <w:jc w:val="both"/>
        <w:rPr>
          <w:rFonts w:ascii="Arial" w:hAnsi="Arial" w:cs="Arial"/>
          <w:b/>
          <w:bCs/>
          <w:sz w:val="16"/>
          <w:szCs w:val="16"/>
        </w:rPr>
      </w:pPr>
    </w:p>
    <w:p w:rsidR="006812EC" w:rsidRPr="0099180C"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lastRenderedPageBreak/>
        <w:t>9)</w:t>
      </w:r>
      <w:r w:rsidRPr="000F5B3A">
        <w:rPr>
          <w:rFonts w:ascii="Times New Roman" w:hAnsi="Times New Roman"/>
          <w:i/>
          <w:sz w:val="20"/>
          <w:szCs w:val="20"/>
        </w:rPr>
        <w:t xml:space="preserve"> </w:t>
      </w:r>
      <w:hyperlink r:id="rId16" w:history="1">
        <w:r w:rsidRPr="000F5B3A">
          <w:rPr>
            <w:rFonts w:ascii="Times New Roman" w:hAnsi="Times New Roman"/>
            <w:i/>
            <w:sz w:val="20"/>
            <w:szCs w:val="20"/>
            <w:u w:val="single"/>
          </w:rPr>
          <w:t>§ 2 odst. 2 zákona č. 314/2002 Sb.</w:t>
        </w:r>
      </w:hyperlink>
      <w:r w:rsidRPr="000F5B3A">
        <w:rPr>
          <w:rFonts w:ascii="Times New Roman" w:hAnsi="Times New Roman"/>
          <w:i/>
          <w:sz w:val="20"/>
          <w:szCs w:val="20"/>
        </w:rPr>
        <w:t>, o stanovení obcí s pověřeným obecním úřadem a stanovení obcí s rozšířenou působností.</w:t>
      </w:r>
    </w:p>
    <w:p w:rsidR="006812EC" w:rsidRPr="00187298" w:rsidRDefault="006812EC" w:rsidP="006812EC">
      <w:pPr>
        <w:widowControl w:val="0"/>
        <w:autoSpaceDE w:val="0"/>
        <w:autoSpaceDN w:val="0"/>
        <w:adjustRightInd w:val="0"/>
        <w:spacing w:after="0" w:line="240" w:lineRule="auto"/>
        <w:jc w:val="both"/>
        <w:rPr>
          <w:rFonts w:ascii="Times New Roman" w:hAnsi="Times New Roman"/>
          <w:sz w:val="20"/>
          <w:szCs w:val="20"/>
          <w:vertAlign w:val="superscript"/>
        </w:rPr>
      </w:pPr>
      <w:r w:rsidRPr="000F5B3A">
        <w:rPr>
          <w:rFonts w:ascii="Times New Roman" w:hAnsi="Times New Roman"/>
          <w:i/>
          <w:sz w:val="20"/>
          <w:szCs w:val="20"/>
          <w:vertAlign w:val="superscript"/>
        </w:rPr>
        <w:t>10) </w:t>
      </w:r>
      <w:r w:rsidRPr="000F5B3A">
        <w:rPr>
          <w:rFonts w:ascii="Times New Roman" w:hAnsi="Times New Roman"/>
          <w:i/>
          <w:sz w:val="20"/>
          <w:szCs w:val="20"/>
        </w:rPr>
        <w:t xml:space="preserve">Z důvodu výrazného omezení rozsahu výkonu agendy státní správy na dislokovaném pracovišti městského úřadu Brandýs nad </w:t>
      </w:r>
      <w:proofErr w:type="gramStart"/>
      <w:r w:rsidRPr="000F5B3A">
        <w:rPr>
          <w:rFonts w:ascii="Times New Roman" w:hAnsi="Times New Roman"/>
          <w:i/>
          <w:sz w:val="20"/>
          <w:szCs w:val="20"/>
        </w:rPr>
        <w:t>Labem-Stará</w:t>
      </w:r>
      <w:proofErr w:type="gramEnd"/>
      <w:r w:rsidRPr="000F5B3A">
        <w:rPr>
          <w:rFonts w:ascii="Times New Roman" w:hAnsi="Times New Roman"/>
          <w:i/>
          <w:sz w:val="20"/>
          <w:szCs w:val="20"/>
        </w:rPr>
        <w:t xml:space="preserve"> Boleslav v hlavním městě Praze byl snížen </w:t>
      </w:r>
      <w:r w:rsidRPr="000A0896">
        <w:rPr>
          <w:rFonts w:ascii="Times New Roman" w:hAnsi="Times New Roman"/>
          <w:i/>
          <w:sz w:val="20"/>
          <w:szCs w:val="20"/>
        </w:rPr>
        <w:t xml:space="preserve">příspěvek </w:t>
      </w:r>
      <w:r w:rsidRPr="00937AC0">
        <w:rPr>
          <w:rFonts w:ascii="Times New Roman" w:hAnsi="Times New Roman"/>
          <w:i/>
          <w:sz w:val="20"/>
          <w:szCs w:val="20"/>
        </w:rPr>
        <w:t xml:space="preserve">o </w:t>
      </w:r>
      <w:r w:rsidR="0052538D" w:rsidRPr="00937AC0">
        <w:rPr>
          <w:rFonts w:ascii="Times New Roman" w:hAnsi="Times New Roman"/>
          <w:i/>
          <w:sz w:val="20"/>
          <w:szCs w:val="20"/>
        </w:rPr>
        <w:t xml:space="preserve">5 068 035 </w:t>
      </w:r>
      <w:r w:rsidRPr="00937AC0">
        <w:rPr>
          <w:rFonts w:ascii="Times New Roman" w:hAnsi="Times New Roman"/>
          <w:i/>
          <w:sz w:val="20"/>
          <w:szCs w:val="20"/>
        </w:rPr>
        <w:t>Kč</w:t>
      </w:r>
      <w:r w:rsidRPr="00187298">
        <w:rPr>
          <w:rFonts w:ascii="Times New Roman" w:hAnsi="Times New Roman"/>
          <w:sz w:val="20"/>
          <w:szCs w:val="20"/>
        </w:rPr>
        <w:t>.</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11)</w:t>
      </w:r>
      <w:r w:rsidRPr="000F5B3A">
        <w:rPr>
          <w:rFonts w:ascii="Times New Roman" w:hAnsi="Times New Roman"/>
          <w:i/>
          <w:sz w:val="20"/>
          <w:szCs w:val="20"/>
        </w:rPr>
        <w:t xml:space="preserve"> Obce, které vykonávaly do 31. 12. 2002 působnost okresního úřadu podle </w:t>
      </w:r>
      <w:hyperlink r:id="rId17" w:history="1">
        <w:r w:rsidRPr="000F5B3A">
          <w:rPr>
            <w:rFonts w:ascii="Times New Roman" w:hAnsi="Times New Roman"/>
            <w:i/>
            <w:sz w:val="20"/>
            <w:szCs w:val="20"/>
            <w:u w:val="single"/>
          </w:rPr>
          <w:t>§ 10 zákona č. 147/2000 Sb.</w:t>
        </w:r>
      </w:hyperlink>
      <w:r w:rsidRPr="000F5B3A">
        <w:rPr>
          <w:rFonts w:ascii="Times New Roman" w:hAnsi="Times New Roman"/>
          <w:i/>
          <w:sz w:val="20"/>
          <w:szCs w:val="20"/>
        </w:rPr>
        <w:t xml:space="preserve">, o okresních úřadech, ve znění zákona č. </w:t>
      </w:r>
      <w:hyperlink r:id="rId18" w:history="1">
        <w:r w:rsidRPr="000F5B3A">
          <w:rPr>
            <w:rFonts w:ascii="Times New Roman" w:hAnsi="Times New Roman"/>
            <w:i/>
            <w:sz w:val="20"/>
            <w:szCs w:val="20"/>
            <w:u w:val="single"/>
          </w:rPr>
          <w:t>320/2001 Sb.</w:t>
        </w:r>
      </w:hyperlink>
      <w:r w:rsidRPr="000F5B3A">
        <w:rPr>
          <w:rFonts w:ascii="Times New Roman" w:hAnsi="Times New Roman"/>
          <w:i/>
          <w:sz w:val="20"/>
          <w:szCs w:val="20"/>
        </w:rPr>
        <w:t xml:space="preserve"> (Poznámka: zákon č. </w:t>
      </w:r>
      <w:hyperlink r:id="rId19" w:history="1">
        <w:r w:rsidRPr="000F5B3A">
          <w:rPr>
            <w:rFonts w:ascii="Times New Roman" w:hAnsi="Times New Roman"/>
            <w:i/>
            <w:sz w:val="20"/>
            <w:szCs w:val="20"/>
            <w:u w:val="single"/>
          </w:rPr>
          <w:t>147/2000 Sb.</w:t>
        </w:r>
      </w:hyperlink>
      <w:r w:rsidRPr="000F5B3A">
        <w:rPr>
          <w:rFonts w:ascii="Times New Roman" w:hAnsi="Times New Roman"/>
          <w:i/>
          <w:sz w:val="20"/>
          <w:szCs w:val="20"/>
        </w:rPr>
        <w:t xml:space="preserve"> byl zrušen ke dni 1. 1. 2003).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z w:val="20"/>
          <w:szCs w:val="20"/>
        </w:rPr>
      </w:pPr>
      <w:r w:rsidRPr="000F5B3A">
        <w:rPr>
          <w:rFonts w:ascii="Times New Roman" w:hAnsi="Times New Roman"/>
          <w:i/>
          <w:sz w:val="20"/>
          <w:szCs w:val="20"/>
          <w:vertAlign w:val="superscript"/>
        </w:rPr>
        <w:t>12)</w:t>
      </w:r>
      <w:r w:rsidRPr="000F5B3A">
        <w:rPr>
          <w:rFonts w:ascii="Times New Roman" w:hAnsi="Times New Roman"/>
          <w:i/>
          <w:sz w:val="20"/>
          <w:szCs w:val="20"/>
        </w:rPr>
        <w:t xml:space="preserve"> </w:t>
      </w:r>
      <w:hyperlink r:id="rId20" w:history="1">
        <w:r w:rsidRPr="000F5B3A">
          <w:rPr>
            <w:rFonts w:ascii="Times New Roman" w:hAnsi="Times New Roman"/>
            <w:i/>
            <w:sz w:val="20"/>
            <w:szCs w:val="20"/>
            <w:u w:val="single"/>
          </w:rPr>
          <w:t>§ 3 odst. 5 zákona č. 301/2000 Sb.</w:t>
        </w:r>
      </w:hyperlink>
      <w:r w:rsidRPr="000F5B3A">
        <w:rPr>
          <w:rFonts w:ascii="Times New Roman" w:hAnsi="Times New Roman"/>
          <w:i/>
          <w:sz w:val="20"/>
          <w:szCs w:val="20"/>
        </w:rPr>
        <w:t xml:space="preserve">, o matrikách, jménu a příjmení a o změně některých souvisejících zákonů, ve znění pozdějších předpisů. </w:t>
      </w:r>
    </w:p>
    <w:p w:rsidR="006812EC" w:rsidRPr="000F5B3A" w:rsidRDefault="006812EC" w:rsidP="006812EC">
      <w:pPr>
        <w:widowControl w:val="0"/>
        <w:autoSpaceDE w:val="0"/>
        <w:autoSpaceDN w:val="0"/>
        <w:adjustRightInd w:val="0"/>
        <w:spacing w:after="0" w:line="240" w:lineRule="auto"/>
        <w:jc w:val="both"/>
        <w:rPr>
          <w:rFonts w:ascii="Times New Roman" w:hAnsi="Times New Roman"/>
          <w:i/>
          <w:strike/>
          <w:sz w:val="20"/>
          <w:szCs w:val="20"/>
        </w:rPr>
      </w:pPr>
      <w:r w:rsidRPr="000F5B3A">
        <w:rPr>
          <w:rFonts w:ascii="Times New Roman" w:hAnsi="Times New Roman"/>
          <w:i/>
          <w:sz w:val="20"/>
          <w:szCs w:val="20"/>
          <w:vertAlign w:val="superscript"/>
        </w:rPr>
        <w:t>13)</w:t>
      </w:r>
      <w:r w:rsidRPr="000F5B3A">
        <w:rPr>
          <w:rFonts w:ascii="Times New Roman" w:hAnsi="Times New Roman"/>
          <w:i/>
          <w:sz w:val="20"/>
          <w:szCs w:val="20"/>
        </w:rPr>
        <w:t xml:space="preserve"> </w:t>
      </w:r>
      <w:hyperlink r:id="rId21" w:history="1">
        <w:r w:rsidRPr="000F5B3A">
          <w:rPr>
            <w:rFonts w:ascii="Times New Roman" w:hAnsi="Times New Roman"/>
            <w:i/>
            <w:sz w:val="20"/>
            <w:szCs w:val="20"/>
            <w:u w:val="single"/>
          </w:rPr>
          <w:t>§ 31 až 37 zákona č. 186/2013 Sb.</w:t>
        </w:r>
      </w:hyperlink>
      <w:r w:rsidRPr="000F5B3A">
        <w:rPr>
          <w:rFonts w:ascii="Times New Roman" w:hAnsi="Times New Roman"/>
          <w:i/>
          <w:sz w:val="20"/>
          <w:szCs w:val="20"/>
        </w:rPr>
        <w:t xml:space="preserve">, o státním občanství České republiky a o změně některých zákonů (zákon o státním občanství České republiky). </w:t>
      </w:r>
    </w:p>
    <w:p w:rsidR="006812EC" w:rsidRPr="000F5B3A" w:rsidRDefault="006812EC" w:rsidP="006812EC">
      <w:pPr>
        <w:widowControl w:val="0"/>
        <w:autoSpaceDE w:val="0"/>
        <w:autoSpaceDN w:val="0"/>
        <w:adjustRightInd w:val="0"/>
        <w:spacing w:after="0" w:line="240" w:lineRule="auto"/>
        <w:rPr>
          <w:rFonts w:ascii="Arial" w:hAnsi="Arial" w:cs="Arial"/>
          <w:sz w:val="20"/>
          <w:szCs w:val="20"/>
        </w:rPr>
      </w:pPr>
      <w:r w:rsidRPr="000F5B3A">
        <w:rPr>
          <w:rFonts w:ascii="Arial" w:hAnsi="Arial" w:cs="Arial"/>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Arial" w:hAnsi="Arial" w:cs="Arial"/>
          <w:b/>
          <w:bCs/>
          <w:sz w:val="20"/>
          <w:szCs w:val="20"/>
        </w:rPr>
      </w:pPr>
      <w:r w:rsidRPr="000F5B3A">
        <w:rPr>
          <w:rFonts w:ascii="Arial" w:hAnsi="Arial" w:cs="Arial"/>
          <w:b/>
          <w:bCs/>
          <w:sz w:val="20"/>
          <w:szCs w:val="20"/>
        </w:rPr>
        <w:tab/>
      </w: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D) Financování veřejného opatrovnictví včetně souvislostí</w:t>
      </w:r>
    </w:p>
    <w:p w:rsidR="006812EC" w:rsidRPr="000F5B3A" w:rsidRDefault="006812EC" w:rsidP="006812EC">
      <w:pPr>
        <w:widowControl w:val="0"/>
        <w:autoSpaceDE w:val="0"/>
        <w:autoSpaceDN w:val="0"/>
        <w:adjustRightInd w:val="0"/>
        <w:spacing w:after="0" w:line="240" w:lineRule="auto"/>
        <w:rPr>
          <w:rFonts w:ascii="Times New Roman" w:hAnsi="Times New Roman"/>
          <w:b/>
          <w:bCs/>
          <w:sz w:val="20"/>
          <w:szCs w:val="20"/>
        </w:rPr>
      </w:pPr>
      <w:r w:rsidRPr="000F5B3A">
        <w:rPr>
          <w:rFonts w:ascii="Times New Roman" w:hAnsi="Times New Roman"/>
          <w:b/>
          <w:bCs/>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Předmětné financování se týká opatrovnictví zletilých osob, a to jak těch, které byly omezeny ve svéprávnosti (dle </w:t>
      </w:r>
      <w:hyperlink r:id="rId22" w:history="1">
        <w:r w:rsidRPr="000F5B3A">
          <w:rPr>
            <w:rFonts w:ascii="Times New Roman" w:hAnsi="Times New Roman"/>
            <w:sz w:val="20"/>
            <w:szCs w:val="20"/>
            <w:u w:val="single"/>
          </w:rPr>
          <w:t>§ 55 zákona č. 89/2012 Sb.</w:t>
        </w:r>
      </w:hyperlink>
      <w:r w:rsidRPr="000F5B3A">
        <w:rPr>
          <w:rFonts w:ascii="Times New Roman" w:hAnsi="Times New Roman"/>
          <w:sz w:val="20"/>
          <w:szCs w:val="20"/>
        </w:rPr>
        <w:t>, občanský zákoník, ve znění pozdějších předpisů - dále jen OZ - ve spojení s </w:t>
      </w:r>
      <w:hyperlink r:id="rId23" w:history="1">
        <w:r w:rsidRPr="000F5B3A">
          <w:rPr>
            <w:rFonts w:ascii="Times New Roman" w:hAnsi="Times New Roman"/>
            <w:sz w:val="20"/>
            <w:szCs w:val="20"/>
            <w:u w:val="single"/>
          </w:rPr>
          <w:t>§ 62</w:t>
        </w:r>
      </w:hyperlink>
      <w:r w:rsidRPr="000F5B3A">
        <w:rPr>
          <w:rFonts w:ascii="Times New Roman" w:hAnsi="Times New Roman"/>
          <w:sz w:val="20"/>
          <w:szCs w:val="20"/>
        </w:rPr>
        <w:t>), tak i těch, které omezeny nebyly (</w:t>
      </w:r>
      <w:hyperlink r:id="rId24" w:history="1">
        <w:r w:rsidRPr="000F5B3A">
          <w:rPr>
            <w:rFonts w:ascii="Times New Roman" w:hAnsi="Times New Roman"/>
            <w:sz w:val="20"/>
            <w:szCs w:val="20"/>
            <w:u w:val="single"/>
          </w:rPr>
          <w:t>§ 469 OZ</w:t>
        </w:r>
      </w:hyperlink>
      <w:r w:rsidRPr="000F5B3A">
        <w:rPr>
          <w:rFonts w:ascii="Times New Roman" w:hAnsi="Times New Roman"/>
          <w:sz w:val="20"/>
          <w:szCs w:val="20"/>
        </w:rPr>
        <w:t xml:space="preserve"> – špatný zdravotní stav působí obtíže při správě jmění nebo hájení práv). V těchto případech je zde pravomocný rozsudek soudu, který jmenuje obec veřejným opatrovníkem nikoliv jen pro jedno konkrétní řízení, ale pro komplexní výkon práv a povinností spojených s dlouhodobou omezenou schopností opatrovance zajišťovat své potřeby vlastními silami.</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b/>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Toto financování se ale netýká procesního opatrovnictví osob, u kterých není známo, kde pobývají, nebo osob neznámých, které se účastní určitého právního jednání. Netýká se taktéž ustanovení obce jako osoby určené pro provedení určitých jednotlivých právních jednání, nebo jíž je svěřena správa majetku osoby již během řízení o svéprávnosti dle </w:t>
      </w:r>
      <w:hyperlink r:id="rId25" w:history="1">
        <w:r w:rsidRPr="000F5B3A">
          <w:rPr>
            <w:rFonts w:ascii="Times New Roman" w:hAnsi="Times New Roman"/>
            <w:sz w:val="20"/>
            <w:szCs w:val="20"/>
            <w:u w:val="single"/>
          </w:rPr>
          <w:t>§ 58 OZ</w:t>
        </w:r>
      </w:hyperlink>
      <w:r w:rsidRPr="000F5B3A">
        <w:rPr>
          <w:rFonts w:ascii="Times New Roman" w:hAnsi="Times New Roman"/>
          <w:sz w:val="20"/>
          <w:szCs w:val="20"/>
        </w:rPr>
        <w:t xml:space="preserve">. Netýká se ani procesního opatrovnictví pro řízení o svéprávnosti, opatrovnictví či některých podpůrných opatření (dle </w:t>
      </w:r>
      <w:hyperlink r:id="rId26" w:history="1">
        <w:r w:rsidRPr="000F5B3A">
          <w:rPr>
            <w:rFonts w:ascii="Times New Roman" w:hAnsi="Times New Roman"/>
            <w:sz w:val="20"/>
            <w:szCs w:val="20"/>
            <w:u w:val="single"/>
          </w:rPr>
          <w:t>§ 37 zákona č. 292/2013 Sb.</w:t>
        </w:r>
      </w:hyperlink>
      <w:r w:rsidRPr="000F5B3A">
        <w:rPr>
          <w:rFonts w:ascii="Times New Roman" w:hAnsi="Times New Roman"/>
          <w:sz w:val="20"/>
          <w:szCs w:val="20"/>
        </w:rPr>
        <w:t>, o zvláštních řízeních soudních, ve znění pozdějších předpisů) či jiného procesního opatrovnictví. Financování se netýkají i případy opatrovnictví, kdy se obec stane dočasně</w:t>
      </w:r>
      <w:r w:rsidRPr="000F5B3A">
        <w:rPr>
          <w:rFonts w:ascii="Times New Roman" w:hAnsi="Times New Roman"/>
          <w:b/>
          <w:sz w:val="20"/>
          <w:szCs w:val="20"/>
        </w:rPr>
        <w:t xml:space="preserve"> </w:t>
      </w:r>
      <w:r w:rsidRPr="000F5B3A">
        <w:rPr>
          <w:rFonts w:ascii="Times New Roman" w:hAnsi="Times New Roman"/>
          <w:sz w:val="20"/>
          <w:szCs w:val="20"/>
        </w:rPr>
        <w:t xml:space="preserve">opatrovníkem přímo ze zákona dle </w:t>
      </w:r>
      <w:hyperlink r:id="rId27" w:history="1">
        <w:r w:rsidRPr="000F5B3A">
          <w:rPr>
            <w:rFonts w:ascii="Times New Roman" w:hAnsi="Times New Roman"/>
            <w:sz w:val="20"/>
            <w:szCs w:val="20"/>
            <w:u w:val="single"/>
          </w:rPr>
          <w:t>§ 468 OZ</w:t>
        </w:r>
      </w:hyperlink>
      <w:r w:rsidRPr="000F5B3A">
        <w:rPr>
          <w:rFonts w:ascii="Times New Roman" w:hAnsi="Times New Roman"/>
          <w:sz w:val="20"/>
          <w:szCs w:val="20"/>
        </w:rPr>
        <w:t>. Jedná se zde o případy, kdy zemřel dosavadní opatrovník (fyzická osoba) nebo kdy došlo k odvolání stávajícího opatrovníka bez jmenování nového (toto opatrovnictví zaniká právní mocí rozsudku o ustanovení nového opatrovníka).</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V případě rozhodnutí z období před účinností nového OZ se financování týká rozhodnutí o omezení ve způsobilosti k právním úkonům dle </w:t>
      </w:r>
      <w:hyperlink r:id="rId28" w:history="1">
        <w:r w:rsidRPr="000F5B3A">
          <w:rPr>
            <w:rFonts w:ascii="Times New Roman" w:hAnsi="Times New Roman"/>
            <w:sz w:val="20"/>
            <w:szCs w:val="20"/>
            <w:u w:val="single"/>
          </w:rPr>
          <w:t>§ 10 odst. 2</w:t>
        </w:r>
      </w:hyperlink>
      <w:r w:rsidRPr="000F5B3A">
        <w:rPr>
          <w:rFonts w:ascii="Times New Roman" w:hAnsi="Times New Roman"/>
          <w:sz w:val="20"/>
          <w:szCs w:val="20"/>
        </w:rPr>
        <w:t xml:space="preserve"> a rozhodnutí o zbavení způsobilosti k právním úkonům dle </w:t>
      </w:r>
      <w:hyperlink r:id="rId29" w:history="1">
        <w:r w:rsidRPr="000F5B3A">
          <w:rPr>
            <w:rFonts w:ascii="Times New Roman" w:hAnsi="Times New Roman"/>
            <w:sz w:val="20"/>
            <w:szCs w:val="20"/>
            <w:u w:val="single"/>
          </w:rPr>
          <w:t>§ 10 odst. 1 zákona č. 40/1964 Sb.</w:t>
        </w:r>
      </w:hyperlink>
      <w:r w:rsidRPr="000F5B3A">
        <w:rPr>
          <w:rFonts w:ascii="Times New Roman" w:hAnsi="Times New Roman"/>
          <w:sz w:val="20"/>
          <w:szCs w:val="20"/>
        </w:rPr>
        <w:t>, Občanský zákoník.</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Obce jako veřejní opatrovníci obdrží násobek paušální platby na jednoho opatrovance podle jejich faktického počtu k rozhodnému dni. Tímto rozhodným dnem pro příspěvek na rok 2019 je 31. březen 2018. K tomuto rozhodnému dni bylo prostřednictvím krajských úřadů realizováno ve všech obcích zjišťování skutečného stavu výkonu veřejného opatrovnictví. Následně byla takto kraji učiněná zjištění zveřejněna na internetových stránkách Ministerstva vnitra s cílem umožnit obcím zjištěné skutečnosti verifikovat. </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Výše zmíněné paušální platby byla pro rok 2019 stanovena ve výši 29 000 Kč na opatrovance za rok. Na změny v počtu </w:t>
      </w:r>
      <w:proofErr w:type="spellStart"/>
      <w:r w:rsidRPr="000F5B3A">
        <w:rPr>
          <w:rFonts w:ascii="Times New Roman" w:hAnsi="Times New Roman"/>
          <w:sz w:val="20"/>
          <w:szCs w:val="20"/>
        </w:rPr>
        <w:t>opatrovanců</w:t>
      </w:r>
      <w:proofErr w:type="spellEnd"/>
      <w:r w:rsidRPr="000F5B3A">
        <w:rPr>
          <w:rFonts w:ascii="Times New Roman" w:hAnsi="Times New Roman"/>
          <w:sz w:val="20"/>
          <w:szCs w:val="20"/>
        </w:rPr>
        <w:t xml:space="preserve"> v průběhu roku není brán zřetel. Jedná se pouze o živé osoby pod opatrovnictvím obcí. Zároveň nehraje roli faktická přítomnost osoby v obci, tedy zda osoba v rozhodném datu pobývá na jiném místě (například zdravotnické zařízení, zařízení sociálních služeb apod.), či zda jde o osobu migrující v dalších obcích. </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Obcím, vykonávajícím působnost veřejných opatrovníků, bude výše příspěvku na výkon státní správy zvýšena o částku, která odpovídá násobku faktického počtu </w:t>
      </w:r>
      <w:proofErr w:type="spellStart"/>
      <w:r w:rsidRPr="000F5B3A">
        <w:rPr>
          <w:rFonts w:ascii="Times New Roman" w:hAnsi="Times New Roman"/>
          <w:sz w:val="20"/>
          <w:szCs w:val="20"/>
        </w:rPr>
        <w:t>opatrovanců</w:t>
      </w:r>
      <w:proofErr w:type="spellEnd"/>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r w:rsidRPr="000F5B3A">
        <w:rPr>
          <w:rFonts w:ascii="Times New Roman" w:hAnsi="Times New Roman"/>
          <w:b/>
          <w:sz w:val="24"/>
          <w:szCs w:val="24"/>
        </w:rPr>
        <w:t>E) Financování jednotných kontaktních míst</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Obecní živnostenské</w:t>
      </w:r>
      <w:r w:rsidRPr="000F5B3A">
        <w:rPr>
          <w:rFonts w:ascii="Times New Roman" w:hAnsi="Times New Roman"/>
          <w:szCs w:val="20"/>
        </w:rPr>
        <w:t xml:space="preserve"> </w:t>
      </w:r>
      <w:r w:rsidRPr="000F5B3A">
        <w:rPr>
          <w:rFonts w:ascii="Times New Roman" w:hAnsi="Times New Roman"/>
          <w:sz w:val="20"/>
          <w:szCs w:val="20"/>
        </w:rPr>
        <w:t>úřady podle ustanovení § 2 odst. 4 zákona č. 570/1991 Sb., o živnostenských úřadech, ve znění pozdějších předpisů plní funkci jednotného kontaktního místa podle zákona č. 222/2009, o volném pohybu služeb, ve znění pozdějších předpisů.</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Seznam jednotných kontaktních míst je stanoven přílohou vyhlášky č. 248/2009 Sb., kterou se stanoví seznam jednotných kontaktních míst.</w:t>
      </w:r>
    </w:p>
    <w:p w:rsidR="00D9002B"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lastRenderedPageBreak/>
        <w:t>Výše příspěvku pro jednotlivá jednotná kontaktní místa je stanovena na základě statistik vedených v informačním systému „SINPRO“, tj. zaevidovaných a následně řešených dotazů klienta bez duplicit takovéhoto dotazu za období od 1. 1. do 31. 12. 2017. Konkrétní počet zaevidovaných a následně řešených dotazů v rámci jednotného kontaktního místa je přiřazen jednomu ze škály stanovených intervalů (rozpětí „od – do“), ke kterému jsou navázány finanční prostředky. Se zvyšujícím se počtem řešených dotazů se zvyšují navázané finanční prostředky v rámci škály stanovených intervalů podle níže uvedeného:</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6812EC" w:rsidRPr="000F5B3A" w:rsidTr="002A2260">
        <w:trPr>
          <w:trHeight w:val="519"/>
          <w:tblHeader/>
        </w:trPr>
        <w:tc>
          <w:tcPr>
            <w:tcW w:w="5402" w:type="dxa"/>
            <w:shd w:val="clear" w:color="000000" w:fill="FFFFFF"/>
            <w:vAlign w:val="center"/>
            <w:hideMark/>
          </w:tcPr>
          <w:p w:rsidR="006812EC" w:rsidRPr="000F5B3A" w:rsidRDefault="006812EC" w:rsidP="002A2260">
            <w:pPr>
              <w:spacing w:after="0" w:line="240" w:lineRule="auto"/>
              <w:jc w:val="center"/>
              <w:rPr>
                <w:rFonts w:ascii="Times New Roman" w:hAnsi="Times New Roman"/>
                <w:b/>
                <w:bCs/>
                <w:sz w:val="20"/>
                <w:szCs w:val="20"/>
              </w:rPr>
            </w:pPr>
            <w:r w:rsidRPr="000F5B3A">
              <w:rPr>
                <w:rFonts w:ascii="Times New Roman" w:hAnsi="Times New Roman"/>
                <w:b/>
                <w:sz w:val="20"/>
                <w:szCs w:val="20"/>
              </w:rPr>
              <w:t>Rozpětí zaevidovaných a následně řešených dotazů klientů</w:t>
            </w:r>
          </w:p>
        </w:tc>
        <w:tc>
          <w:tcPr>
            <w:tcW w:w="3685" w:type="dxa"/>
            <w:shd w:val="clear" w:color="000000" w:fill="FFFFFF"/>
            <w:vAlign w:val="center"/>
            <w:hideMark/>
          </w:tcPr>
          <w:p w:rsidR="006812EC" w:rsidRPr="000F5B3A" w:rsidRDefault="006812EC" w:rsidP="002A2260">
            <w:pPr>
              <w:spacing w:after="0" w:line="240" w:lineRule="auto"/>
              <w:jc w:val="center"/>
              <w:rPr>
                <w:rFonts w:ascii="Times New Roman" w:hAnsi="Times New Roman"/>
                <w:b/>
                <w:bCs/>
                <w:sz w:val="20"/>
                <w:szCs w:val="20"/>
              </w:rPr>
            </w:pPr>
            <w:r w:rsidRPr="000F5B3A">
              <w:rPr>
                <w:rFonts w:ascii="Times New Roman" w:hAnsi="Times New Roman"/>
                <w:b/>
                <w:bCs/>
                <w:sz w:val="20"/>
                <w:szCs w:val="20"/>
              </w:rPr>
              <w:t>Výše příspěvku v Kč</w:t>
            </w:r>
          </w:p>
        </w:tc>
      </w:tr>
      <w:tr w:rsidR="006812EC" w:rsidRPr="000F5B3A" w:rsidTr="002A2260">
        <w:trPr>
          <w:trHeight w:val="315"/>
        </w:trPr>
        <w:tc>
          <w:tcPr>
            <w:tcW w:w="5402"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Od - Do</w:t>
            </w:r>
          </w:p>
        </w:tc>
        <w:tc>
          <w:tcPr>
            <w:tcW w:w="3685"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(Kč)</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0 – 25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66 000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26 – 50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132 000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51 – 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198 000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76 - 100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264 000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101 – 125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330 000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126 – 150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396 000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151 – 175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462 000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176 – 200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528 000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201 – 225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594 000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226 – 250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660 000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251 – 275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726 000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276 – 300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792 000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301 – 325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858 000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326 – 350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924 000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351 – 375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990 000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376 – 400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1 056 000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401 – 425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1 122 000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426 – 450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1 188 000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451 – 475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1 254 000</w:t>
            </w:r>
          </w:p>
        </w:tc>
      </w:tr>
      <w:tr w:rsidR="006812EC" w:rsidRPr="000F5B3A" w:rsidTr="002A2260">
        <w:trPr>
          <w:trHeight w:val="315"/>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476 – 500</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1 320 000</w:t>
            </w:r>
          </w:p>
        </w:tc>
      </w:tr>
      <w:tr w:rsidR="006812EC" w:rsidRPr="000F5B3A" w:rsidTr="002A2260">
        <w:trPr>
          <w:trHeight w:val="300"/>
        </w:trPr>
        <w:tc>
          <w:tcPr>
            <w:tcW w:w="5402" w:type="dxa"/>
            <w:shd w:val="clear" w:color="auto" w:fill="auto"/>
            <w:noWrap/>
            <w:vAlign w:val="center"/>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501 - 525</w:t>
            </w:r>
          </w:p>
        </w:tc>
        <w:tc>
          <w:tcPr>
            <w:tcW w:w="3685" w:type="dxa"/>
            <w:shd w:val="clear" w:color="auto" w:fill="auto"/>
            <w:noWrap/>
            <w:vAlign w:val="center"/>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1 386 000</w:t>
            </w:r>
          </w:p>
        </w:tc>
      </w:tr>
      <w:tr w:rsidR="006812EC" w:rsidRPr="000F5B3A" w:rsidTr="002A2260">
        <w:trPr>
          <w:trHeight w:val="300"/>
        </w:trPr>
        <w:tc>
          <w:tcPr>
            <w:tcW w:w="5402" w:type="dxa"/>
            <w:shd w:val="clear" w:color="auto" w:fill="auto"/>
            <w:noWrap/>
            <w:vAlign w:val="center"/>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526 - 550</w:t>
            </w:r>
          </w:p>
        </w:tc>
        <w:tc>
          <w:tcPr>
            <w:tcW w:w="3685" w:type="dxa"/>
            <w:shd w:val="clear" w:color="auto" w:fill="auto"/>
            <w:noWrap/>
            <w:vAlign w:val="center"/>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1 452 000</w:t>
            </w:r>
          </w:p>
        </w:tc>
      </w:tr>
      <w:tr w:rsidR="006812EC" w:rsidRPr="000F5B3A" w:rsidTr="002A2260">
        <w:trPr>
          <w:trHeight w:val="300"/>
        </w:trPr>
        <w:tc>
          <w:tcPr>
            <w:tcW w:w="5402"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551 – 575</w:t>
            </w:r>
          </w:p>
        </w:tc>
        <w:tc>
          <w:tcPr>
            <w:tcW w:w="3685" w:type="dxa"/>
            <w:shd w:val="clear" w:color="auto" w:fill="auto"/>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1 518 000</w:t>
            </w:r>
          </w:p>
        </w:tc>
      </w:tr>
    </w:tbl>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457227" w:rsidRDefault="00457227" w:rsidP="006812EC">
      <w:pPr>
        <w:widowControl w:val="0"/>
        <w:autoSpaceDE w:val="0"/>
        <w:autoSpaceDN w:val="0"/>
        <w:adjustRightInd w:val="0"/>
        <w:spacing w:after="0" w:line="240" w:lineRule="auto"/>
        <w:jc w:val="both"/>
        <w:rPr>
          <w:rFonts w:ascii="Times New Roman" w:hAnsi="Times New Roman"/>
          <w:sz w:val="20"/>
          <w:szCs w:val="20"/>
        </w:rPr>
      </w:pPr>
    </w:p>
    <w:p w:rsidR="00457227" w:rsidRDefault="00457227"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Konkrétní výše příspěvku pro jednotlivá jednotná kontaktní místa v rámci obcí ČR je následující:</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tbl>
      <w:tblPr>
        <w:tblW w:w="91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3274"/>
        <w:gridCol w:w="3557"/>
      </w:tblGrid>
      <w:tr w:rsidR="006812EC" w:rsidRPr="000F5B3A" w:rsidTr="00014988">
        <w:trPr>
          <w:trHeight w:val="550"/>
        </w:trPr>
        <w:tc>
          <w:tcPr>
            <w:tcW w:w="2292" w:type="dxa"/>
            <w:vMerge w:val="restart"/>
            <w:shd w:val="clear" w:color="000000" w:fill="FFFFFF"/>
            <w:vAlign w:val="center"/>
            <w:hideMark/>
          </w:tcPr>
          <w:p w:rsidR="006812EC" w:rsidRPr="000F5B3A" w:rsidRDefault="006812EC" w:rsidP="002A2260">
            <w:pPr>
              <w:spacing w:after="0" w:line="240" w:lineRule="auto"/>
              <w:jc w:val="center"/>
              <w:rPr>
                <w:rFonts w:ascii="Times New Roman" w:hAnsi="Times New Roman"/>
                <w:b/>
                <w:bCs/>
                <w:sz w:val="20"/>
                <w:szCs w:val="20"/>
              </w:rPr>
            </w:pPr>
            <w:r w:rsidRPr="000F5B3A">
              <w:rPr>
                <w:rFonts w:ascii="Times New Roman" w:hAnsi="Times New Roman"/>
                <w:b/>
                <w:bCs/>
                <w:sz w:val="20"/>
                <w:szCs w:val="20"/>
              </w:rPr>
              <w:t>Jednotné kontaktní místo v rámci obcí ČR</w:t>
            </w:r>
          </w:p>
        </w:tc>
        <w:tc>
          <w:tcPr>
            <w:tcW w:w="3274" w:type="dxa"/>
            <w:vMerge w:val="restart"/>
            <w:shd w:val="clear" w:color="000000" w:fill="FFFFFF"/>
            <w:vAlign w:val="center"/>
            <w:hideMark/>
          </w:tcPr>
          <w:p w:rsidR="006812EC" w:rsidRPr="000F5B3A" w:rsidRDefault="006812EC" w:rsidP="002A2260">
            <w:pPr>
              <w:spacing w:after="0" w:line="240" w:lineRule="auto"/>
              <w:jc w:val="center"/>
              <w:rPr>
                <w:rFonts w:ascii="Times New Roman" w:hAnsi="Times New Roman"/>
                <w:b/>
                <w:bCs/>
                <w:sz w:val="20"/>
                <w:szCs w:val="20"/>
              </w:rPr>
            </w:pPr>
            <w:r w:rsidRPr="000F5B3A">
              <w:rPr>
                <w:rFonts w:ascii="Times New Roman" w:hAnsi="Times New Roman"/>
                <w:b/>
                <w:bCs/>
                <w:sz w:val="20"/>
                <w:szCs w:val="20"/>
              </w:rPr>
              <w:t xml:space="preserve">Počet zaevidovaných a následně řešených dotazů klientů v období od 1. 1. do 31. 12. 2017 </w:t>
            </w:r>
          </w:p>
        </w:tc>
        <w:tc>
          <w:tcPr>
            <w:tcW w:w="3557" w:type="dxa"/>
            <w:vMerge w:val="restart"/>
            <w:shd w:val="clear" w:color="000000" w:fill="FFFFFF"/>
            <w:vAlign w:val="center"/>
            <w:hideMark/>
          </w:tcPr>
          <w:p w:rsidR="006812EC" w:rsidRPr="000F5B3A" w:rsidRDefault="006812EC" w:rsidP="002A2260">
            <w:pPr>
              <w:spacing w:after="0" w:line="240" w:lineRule="auto"/>
              <w:jc w:val="center"/>
              <w:rPr>
                <w:rFonts w:ascii="Times New Roman" w:hAnsi="Times New Roman"/>
                <w:b/>
                <w:bCs/>
                <w:sz w:val="20"/>
                <w:szCs w:val="20"/>
              </w:rPr>
            </w:pPr>
            <w:r w:rsidRPr="000F5B3A">
              <w:rPr>
                <w:rFonts w:ascii="Times New Roman" w:hAnsi="Times New Roman"/>
                <w:b/>
                <w:bCs/>
                <w:sz w:val="20"/>
                <w:szCs w:val="20"/>
              </w:rPr>
              <w:t xml:space="preserve">Výše příspěvku </w:t>
            </w:r>
            <w:r>
              <w:rPr>
                <w:rFonts w:ascii="Times New Roman" w:hAnsi="Times New Roman"/>
                <w:b/>
                <w:bCs/>
                <w:sz w:val="20"/>
                <w:szCs w:val="20"/>
              </w:rPr>
              <w:t xml:space="preserve">v </w:t>
            </w:r>
            <w:r w:rsidRPr="000F5B3A">
              <w:rPr>
                <w:rFonts w:ascii="Times New Roman" w:hAnsi="Times New Roman"/>
                <w:b/>
                <w:bCs/>
                <w:sz w:val="20"/>
                <w:szCs w:val="20"/>
              </w:rPr>
              <w:t>Kč</w:t>
            </w:r>
          </w:p>
        </w:tc>
      </w:tr>
      <w:tr w:rsidR="006812EC" w:rsidRPr="000F5B3A" w:rsidTr="00014988">
        <w:trPr>
          <w:trHeight w:val="312"/>
        </w:trPr>
        <w:tc>
          <w:tcPr>
            <w:tcW w:w="2292" w:type="dxa"/>
            <w:vMerge/>
            <w:vAlign w:val="center"/>
            <w:hideMark/>
          </w:tcPr>
          <w:p w:rsidR="006812EC" w:rsidRPr="000F5B3A" w:rsidRDefault="006812EC" w:rsidP="002A2260">
            <w:pPr>
              <w:spacing w:after="0" w:line="240" w:lineRule="auto"/>
              <w:rPr>
                <w:rFonts w:ascii="Times New Roman" w:hAnsi="Times New Roman"/>
                <w:bCs/>
                <w:sz w:val="20"/>
                <w:szCs w:val="20"/>
              </w:rPr>
            </w:pPr>
          </w:p>
        </w:tc>
        <w:tc>
          <w:tcPr>
            <w:tcW w:w="3274" w:type="dxa"/>
            <w:vMerge/>
            <w:vAlign w:val="center"/>
            <w:hideMark/>
          </w:tcPr>
          <w:p w:rsidR="006812EC" w:rsidRPr="000F5B3A" w:rsidRDefault="006812EC" w:rsidP="002A2260">
            <w:pPr>
              <w:spacing w:after="0" w:line="240" w:lineRule="auto"/>
              <w:rPr>
                <w:rFonts w:ascii="Times New Roman" w:hAnsi="Times New Roman"/>
                <w:bCs/>
                <w:sz w:val="20"/>
                <w:szCs w:val="20"/>
              </w:rPr>
            </w:pPr>
          </w:p>
        </w:tc>
        <w:tc>
          <w:tcPr>
            <w:tcW w:w="3557" w:type="dxa"/>
            <w:vMerge/>
            <w:vAlign w:val="center"/>
            <w:hideMark/>
          </w:tcPr>
          <w:p w:rsidR="006812EC" w:rsidRPr="000F5B3A" w:rsidRDefault="006812EC" w:rsidP="002A2260">
            <w:pPr>
              <w:spacing w:after="0" w:line="240" w:lineRule="auto"/>
              <w:rPr>
                <w:rFonts w:ascii="Times New Roman" w:hAnsi="Times New Roman"/>
                <w:bCs/>
                <w:sz w:val="20"/>
                <w:szCs w:val="20"/>
              </w:rPr>
            </w:pP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Ostrava</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455</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1 254 000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České Budějovice</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255</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726 000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Liberec</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26</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132 000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Hradec Králové</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45</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132 000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Jihlava</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25</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66 000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Zlín</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223</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594 000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lastRenderedPageBreak/>
              <w:t>Černošice</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32</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132 000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Olomouc</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56</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198 000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Karlovy Vary</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97</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264 000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Brno</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501</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1 386 000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Plzeň</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74</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trike/>
                <w:sz w:val="20"/>
                <w:szCs w:val="20"/>
              </w:rPr>
            </w:pPr>
            <w:r w:rsidRPr="000F5B3A">
              <w:rPr>
                <w:rFonts w:ascii="Times New Roman" w:hAnsi="Times New Roman"/>
                <w:sz w:val="20"/>
                <w:szCs w:val="20"/>
              </w:rPr>
              <w:t>198 000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Pardubice</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370</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990 000</w:t>
            </w:r>
          </w:p>
        </w:tc>
      </w:tr>
      <w:tr w:rsidR="006812EC" w:rsidRPr="000F5B3A" w:rsidTr="00014988">
        <w:trPr>
          <w:trHeight w:val="297"/>
        </w:trPr>
        <w:tc>
          <w:tcPr>
            <w:tcW w:w="2292" w:type="dxa"/>
            <w:shd w:val="clear" w:color="000000" w:fill="FFFFFF"/>
            <w:vAlign w:val="center"/>
            <w:hideMark/>
          </w:tcPr>
          <w:p w:rsidR="006812EC" w:rsidRPr="000F5B3A" w:rsidRDefault="006812EC" w:rsidP="002A2260">
            <w:pPr>
              <w:spacing w:after="0" w:line="240" w:lineRule="auto"/>
              <w:rPr>
                <w:rFonts w:ascii="Times New Roman" w:hAnsi="Times New Roman"/>
                <w:bCs/>
                <w:sz w:val="20"/>
                <w:szCs w:val="20"/>
              </w:rPr>
            </w:pPr>
            <w:r w:rsidRPr="000F5B3A">
              <w:rPr>
                <w:rFonts w:ascii="Times New Roman" w:hAnsi="Times New Roman"/>
                <w:bCs/>
                <w:sz w:val="20"/>
                <w:szCs w:val="20"/>
              </w:rPr>
              <w:t>Ústí nad Labem</w:t>
            </w:r>
          </w:p>
        </w:tc>
        <w:tc>
          <w:tcPr>
            <w:tcW w:w="3274" w:type="dxa"/>
            <w:shd w:val="clear" w:color="000000" w:fill="FFFFFF"/>
            <w:vAlign w:val="center"/>
            <w:hideMark/>
          </w:tcPr>
          <w:p w:rsidR="006812EC" w:rsidRPr="000F5B3A" w:rsidRDefault="006812EC" w:rsidP="002A2260">
            <w:pPr>
              <w:spacing w:after="0" w:line="240" w:lineRule="auto"/>
              <w:jc w:val="center"/>
              <w:rPr>
                <w:rFonts w:ascii="Times New Roman" w:hAnsi="Times New Roman"/>
                <w:bCs/>
                <w:sz w:val="20"/>
                <w:szCs w:val="20"/>
              </w:rPr>
            </w:pPr>
            <w:r w:rsidRPr="000F5B3A">
              <w:rPr>
                <w:rFonts w:ascii="Times New Roman" w:hAnsi="Times New Roman"/>
                <w:bCs/>
                <w:sz w:val="20"/>
                <w:szCs w:val="20"/>
              </w:rPr>
              <w:t>25</w:t>
            </w:r>
          </w:p>
        </w:tc>
        <w:tc>
          <w:tcPr>
            <w:tcW w:w="3557" w:type="dxa"/>
            <w:shd w:val="clear" w:color="000000" w:fill="FFFFFF"/>
            <w:noWrap/>
            <w:vAlign w:val="center"/>
            <w:hideMark/>
          </w:tcPr>
          <w:p w:rsidR="006812EC" w:rsidRPr="000F5B3A" w:rsidRDefault="006812EC" w:rsidP="002A2260">
            <w:pPr>
              <w:spacing w:after="0" w:line="240" w:lineRule="auto"/>
              <w:jc w:val="center"/>
              <w:rPr>
                <w:rFonts w:ascii="Times New Roman" w:hAnsi="Times New Roman"/>
                <w:sz w:val="20"/>
                <w:szCs w:val="20"/>
              </w:rPr>
            </w:pPr>
            <w:r w:rsidRPr="000F5B3A">
              <w:rPr>
                <w:rFonts w:ascii="Times New Roman" w:hAnsi="Times New Roman"/>
                <w:sz w:val="20"/>
                <w:szCs w:val="20"/>
              </w:rPr>
              <w:t>66 000</w:t>
            </w:r>
          </w:p>
        </w:tc>
      </w:tr>
    </w:tbl>
    <w:p w:rsidR="000A0896" w:rsidRDefault="000A0896"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r w:rsidRPr="000F5B3A">
        <w:rPr>
          <w:rFonts w:ascii="Times New Roman" w:hAnsi="Times New Roman"/>
          <w:b/>
          <w:sz w:val="24"/>
          <w:szCs w:val="24"/>
        </w:rPr>
        <w:t>F) Financování vydávání občanských průkazů</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4"/>
          <w:szCs w:val="24"/>
        </w:rPr>
      </w:pPr>
      <w:bookmarkStart w:id="0" w:name="_GoBack"/>
      <w:bookmarkEnd w:id="0"/>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Obec, kde byla podána žádost o vydání občanského průkazu, (tzv. „místo nabrání“) obdrží příspěvek ve výši násobku 118 Kč za každý 1 ks takto „nabraného“ občanského průkazu, což je nárůst o 11 Kč oproti roku 2018 z důvodu navýšení tarifních platů v období od 1. července 2017 do 1. června 2018. Rozhodným obdobím pro stanovení počtu podaných žádostí o vydání občanských průkazů, který je získaný na základě údajů příslušného informačního systému Ministerstva vnitra, je období od 1. 1. do 31. 12. 2017.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A0896" w:rsidRDefault="0052538D"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r w:rsidRPr="000A0896">
        <w:rPr>
          <w:rFonts w:ascii="Times New Roman" w:hAnsi="Times New Roman"/>
          <w:b/>
          <w:sz w:val="24"/>
          <w:szCs w:val="24"/>
        </w:rPr>
        <w:t>G</w:t>
      </w:r>
      <w:r w:rsidR="006812EC" w:rsidRPr="000A0896">
        <w:rPr>
          <w:rFonts w:ascii="Times New Roman" w:hAnsi="Times New Roman"/>
          <w:b/>
          <w:sz w:val="24"/>
          <w:szCs w:val="24"/>
        </w:rPr>
        <w:t>) Financování úřadů územního plánování</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Vedle části příspěvku pro obce s rozšířenou působností podle </w:t>
      </w:r>
      <w:proofErr w:type="gramStart"/>
      <w:r>
        <w:rPr>
          <w:rFonts w:ascii="Times New Roman" w:hAnsi="Times New Roman"/>
          <w:sz w:val="20"/>
          <w:szCs w:val="20"/>
        </w:rPr>
        <w:t>části</w:t>
      </w:r>
      <w:r w:rsidRPr="000F5B3A">
        <w:rPr>
          <w:rFonts w:ascii="Times New Roman" w:hAnsi="Times New Roman"/>
          <w:sz w:val="20"/>
          <w:szCs w:val="20"/>
        </w:rPr>
        <w:t xml:space="preserve"> 1.B), který</w:t>
      </w:r>
      <w:proofErr w:type="gramEnd"/>
      <w:r w:rsidRPr="000F5B3A">
        <w:rPr>
          <w:rFonts w:ascii="Times New Roman" w:hAnsi="Times New Roman"/>
          <w:sz w:val="20"/>
          <w:szCs w:val="20"/>
        </w:rPr>
        <w:t xml:space="preserve"> obsahuje i poměrnou část příspěvku na pokrytí výkonu agendy úřadů územního plánování, v souladu s novou platnou právní úpravou, tj.</w:t>
      </w:r>
      <w:r>
        <w:rPr>
          <w:rFonts w:ascii="Times New Roman" w:hAnsi="Times New Roman"/>
          <w:sz w:val="20"/>
          <w:szCs w:val="20"/>
        </w:rPr>
        <w:t> </w:t>
      </w:r>
      <w:r w:rsidRPr="000F5B3A">
        <w:rPr>
          <w:rFonts w:ascii="Times New Roman" w:hAnsi="Times New Roman"/>
          <w:sz w:val="20"/>
          <w:szCs w:val="20"/>
        </w:rPr>
        <w:t>zákonem č. 225/2017 Sb., kterým se mění zákon č. 183/2006 Sb., o územním plánování a stavebním řádu (stavební zákon), ve znění pozdějších předpisů, a další související zákony, obdrží obce s rozšířenou působností další část příspěvku.</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Obec s rozšířenou působností obdrží příspěvek ve výši 1 451 Kč za každý případ od 1. 1. do 31. 12. 2017, pokud by ve stejném případě vydávala v roce 2018 závazné stanovisko podle § 96b zákona č. 183/2006 Sb., o územním plánování a stavebním řádu (stavební zákon), ve znění zákona č. 225/2017 Sb., kterým se mění zákon č.</w:t>
      </w:r>
      <w:r>
        <w:rPr>
          <w:rFonts w:ascii="Times New Roman" w:hAnsi="Times New Roman"/>
          <w:sz w:val="20"/>
          <w:szCs w:val="20"/>
        </w:rPr>
        <w:t> </w:t>
      </w:r>
      <w:r w:rsidRPr="000F5B3A">
        <w:rPr>
          <w:rFonts w:ascii="Times New Roman" w:hAnsi="Times New Roman"/>
          <w:sz w:val="20"/>
          <w:szCs w:val="20"/>
        </w:rPr>
        <w:t>183/2006 Sb., o územním plánování a stavebním řádu (stavební zákon), ve znění pozdějších předpisů, a další související zákony (nabytí účinnosti 1. 1. 2018).</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Počty závazných stanovisek, které nejsou samostatným rozhodnutím ve správním řízení, vycházejí ze</w:t>
      </w:r>
      <w:r>
        <w:rPr>
          <w:rFonts w:ascii="Times New Roman" w:hAnsi="Times New Roman"/>
          <w:sz w:val="20"/>
          <w:szCs w:val="20"/>
        </w:rPr>
        <w:t> </w:t>
      </w:r>
      <w:r w:rsidRPr="000F5B3A">
        <w:rPr>
          <w:rFonts w:ascii="Times New Roman" w:hAnsi="Times New Roman"/>
          <w:sz w:val="20"/>
          <w:szCs w:val="20"/>
        </w:rPr>
        <w:t>statistického zjišťování prováděného Ministerstvem pro místní rozvoj.</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Celková částka příspěvku zjištěná výše uvedeným propočtem se dle matematických zásad zaokrouhluje na celé stokoruny.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2. Postup pro stanovení výše příspěvku na výkon státní správy hlavnímu městu Praze</w:t>
      </w:r>
      <w:r w:rsidR="0052538D" w:rsidRPr="000A0896">
        <w:rPr>
          <w:rFonts w:ascii="Times New Roman" w:hAnsi="Times New Roman"/>
          <w:bCs/>
          <w:sz w:val="20"/>
          <w:szCs w:val="20"/>
          <w:vertAlign w:val="superscript"/>
        </w:rPr>
        <w:t>14</w:t>
      </w:r>
      <w:r w:rsidRPr="000F5B3A">
        <w:rPr>
          <w:rFonts w:ascii="Times New Roman" w:hAnsi="Times New Roman"/>
          <w:bCs/>
          <w:sz w:val="20"/>
          <w:szCs w:val="20"/>
          <w:vertAlign w:val="superscript"/>
        </w:rPr>
        <w:t>)</w:t>
      </w:r>
      <w:r w:rsidRPr="000F5B3A">
        <w:rPr>
          <w:rFonts w:ascii="Times New Roman" w:hAnsi="Times New Roman"/>
          <w:b/>
          <w:bCs/>
          <w:sz w:val="24"/>
          <w:szCs w:val="24"/>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A) Výkon působnosti, která je svěřena orgánům krajů v souladu s ustanovením </w:t>
      </w:r>
      <w:hyperlink r:id="rId30" w:history="1">
        <w:r w:rsidRPr="000F5B3A">
          <w:rPr>
            <w:rFonts w:ascii="Times New Roman" w:hAnsi="Times New Roman"/>
            <w:b/>
            <w:bCs/>
            <w:sz w:val="24"/>
            <w:szCs w:val="24"/>
            <w:u w:val="single"/>
          </w:rPr>
          <w:t>§ 31 odst. 1 zákona č. 131/2000 Sb.</w:t>
        </w:r>
      </w:hyperlink>
      <w:r w:rsidRPr="000F5B3A">
        <w:rPr>
          <w:rFonts w:ascii="Times New Roman" w:hAnsi="Times New Roman"/>
          <w:b/>
          <w:bCs/>
          <w:sz w:val="24"/>
          <w:szCs w:val="24"/>
        </w:rPr>
        <w:t xml:space="preserve">, o hlavním městě Praze, ve znění pozdějších předpisů </w:t>
      </w:r>
    </w:p>
    <w:p w:rsidR="006812EC" w:rsidRPr="000F5B3A" w:rsidRDefault="006812EC" w:rsidP="006812EC">
      <w:pPr>
        <w:widowControl w:val="0"/>
        <w:autoSpaceDE w:val="0"/>
        <w:autoSpaceDN w:val="0"/>
        <w:adjustRightInd w:val="0"/>
        <w:spacing w:after="0" w:line="240" w:lineRule="auto"/>
        <w:rPr>
          <w:rFonts w:ascii="Times New Roman" w:hAnsi="Times New Roman"/>
          <w:b/>
          <w:bCs/>
          <w:sz w:val="24"/>
          <w:szCs w:val="24"/>
        </w:rPr>
      </w:pPr>
      <w:r w:rsidRPr="000F5B3A">
        <w:rPr>
          <w:rFonts w:ascii="Times New Roman" w:hAnsi="Times New Roman"/>
          <w:b/>
          <w:bCs/>
          <w:sz w:val="20"/>
          <w:szCs w:val="20"/>
        </w:rPr>
        <w:t xml:space="preserve"> </w:t>
      </w:r>
    </w:p>
    <w:p w:rsidR="006812EC"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Východiskem pro objem příspěvku na výkon státní správy pro rok 2019 je výsledná částka příspěvku pro rok 2018 navýšená o 10 %. </w:t>
      </w:r>
    </w:p>
    <w:p w:rsidR="006812EC" w:rsidRPr="000F5B3A" w:rsidRDefault="006812EC" w:rsidP="006812EC">
      <w:pPr>
        <w:widowControl w:val="0"/>
        <w:autoSpaceDE w:val="0"/>
        <w:autoSpaceDN w:val="0"/>
        <w:adjustRightInd w:val="0"/>
        <w:spacing w:after="0" w:line="240" w:lineRule="auto"/>
        <w:jc w:val="both"/>
        <w:rPr>
          <w:rFonts w:ascii="Times New Roman" w:hAnsi="Times New Roman"/>
          <w:strike/>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B) Výkon působnosti, která je svěřena orgánům obcí, orgánům obcí s pověřeným obecním úřadem a orgánům obcí s rozšířenou působností v souladu s ustanovením </w:t>
      </w:r>
      <w:hyperlink r:id="rId31" w:history="1">
        <w:r w:rsidRPr="000F5B3A">
          <w:rPr>
            <w:rFonts w:ascii="Times New Roman" w:hAnsi="Times New Roman"/>
            <w:b/>
            <w:bCs/>
            <w:sz w:val="24"/>
            <w:szCs w:val="24"/>
            <w:u w:val="single"/>
          </w:rPr>
          <w:t>§ 31 odst. 2 zákona č. 131/2000 Sb.</w:t>
        </w:r>
      </w:hyperlink>
      <w:r w:rsidRPr="000F5B3A">
        <w:rPr>
          <w:rFonts w:ascii="Times New Roman" w:hAnsi="Times New Roman"/>
          <w:b/>
          <w:bCs/>
          <w:sz w:val="24"/>
          <w:szCs w:val="24"/>
        </w:rPr>
        <w:t xml:space="preserve">, o hlavním městě Praze, ve znění pozdějších předpisů </w:t>
      </w:r>
    </w:p>
    <w:p w:rsidR="006812EC" w:rsidRPr="000F5B3A" w:rsidRDefault="006812EC" w:rsidP="006812EC">
      <w:pPr>
        <w:widowControl w:val="0"/>
        <w:autoSpaceDE w:val="0"/>
        <w:autoSpaceDN w:val="0"/>
        <w:adjustRightInd w:val="0"/>
        <w:spacing w:after="0" w:line="240" w:lineRule="auto"/>
        <w:rPr>
          <w:rFonts w:ascii="Times New Roman" w:hAnsi="Times New Roman"/>
          <w:b/>
          <w:bCs/>
          <w:sz w:val="24"/>
          <w:szCs w:val="24"/>
        </w:rPr>
      </w:pPr>
      <w:r w:rsidRPr="000F5B3A">
        <w:rPr>
          <w:rFonts w:ascii="Times New Roman" w:hAnsi="Times New Roman"/>
          <w:b/>
          <w:bCs/>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Výše příspěvku se stanoví na základě pevné sazby na každých 100 obyvatel trvale bydlících v území, v němž hlavní město Praha vykonává státní správu. Příspěvek je tedy násobkem pevné sazby a jedné setiny celkového počtu obyvatel v území. Sazba je pro rok 2019 valorizována o 10 % a činí 74 796 Kč. Meziroční změna příspěvku oproti roku 201</w:t>
      </w:r>
      <w:r w:rsidRPr="001A626C">
        <w:rPr>
          <w:rFonts w:ascii="Times New Roman" w:hAnsi="Times New Roman"/>
          <w:sz w:val="20"/>
          <w:szCs w:val="20"/>
        </w:rPr>
        <w:t xml:space="preserve">8 </w:t>
      </w:r>
      <w:r w:rsidRPr="000F5B3A">
        <w:rPr>
          <w:rFonts w:ascii="Times New Roman" w:hAnsi="Times New Roman"/>
          <w:sz w:val="20"/>
          <w:szCs w:val="20"/>
        </w:rPr>
        <w:t xml:space="preserve">je také výsledkem nárůstu počtu obyvatel hlavního města Prahy dle údajů Českého </w:t>
      </w:r>
      <w:r w:rsidRPr="000F5B3A">
        <w:rPr>
          <w:rFonts w:ascii="Times New Roman" w:hAnsi="Times New Roman"/>
          <w:sz w:val="20"/>
          <w:szCs w:val="20"/>
        </w:rPr>
        <w:lastRenderedPageBreak/>
        <w:t xml:space="preserve">statistického úřadu se stavem k 1. 1. 2018. </w:t>
      </w:r>
    </w:p>
    <w:p w:rsidR="006812EC" w:rsidRDefault="006812EC" w:rsidP="006812EC">
      <w:pPr>
        <w:widowControl w:val="0"/>
        <w:autoSpaceDE w:val="0"/>
        <w:autoSpaceDN w:val="0"/>
        <w:adjustRightInd w:val="0"/>
        <w:spacing w:after="0" w:line="240" w:lineRule="auto"/>
        <w:jc w:val="both"/>
        <w:rPr>
          <w:rFonts w:ascii="Times New Roman" w:hAnsi="Times New Roman"/>
          <w:b/>
          <w:bCs/>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0"/>
          <w:szCs w:val="20"/>
        </w:rPr>
      </w:pP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r w:rsidRPr="000F5B3A">
        <w:rPr>
          <w:rFonts w:ascii="Times New Roman" w:hAnsi="Times New Roman"/>
          <w:b/>
          <w:sz w:val="24"/>
          <w:szCs w:val="24"/>
        </w:rPr>
        <w:t>B1) Financování vydávání občanských průkazů</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V celkové částce příspěvku na výkon státní správy pro hlavní město Prahu, je obsažena i částka 2</w:t>
      </w:r>
      <w:r>
        <w:rPr>
          <w:rFonts w:ascii="Times New Roman" w:hAnsi="Times New Roman"/>
          <w:sz w:val="20"/>
          <w:szCs w:val="20"/>
        </w:rPr>
        <w:t>3</w:t>
      </w:r>
      <w:r w:rsidRPr="000F5B3A">
        <w:rPr>
          <w:rFonts w:ascii="Times New Roman" w:hAnsi="Times New Roman"/>
          <w:sz w:val="20"/>
          <w:szCs w:val="20"/>
        </w:rPr>
        <w:t> </w:t>
      </w:r>
      <w:r>
        <w:rPr>
          <w:rFonts w:ascii="Times New Roman" w:hAnsi="Times New Roman"/>
          <w:sz w:val="20"/>
          <w:szCs w:val="20"/>
        </w:rPr>
        <w:t>189</w:t>
      </w:r>
      <w:r w:rsidRPr="000F5B3A">
        <w:rPr>
          <w:rFonts w:ascii="Times New Roman" w:hAnsi="Times New Roman"/>
          <w:sz w:val="20"/>
          <w:szCs w:val="20"/>
        </w:rPr>
        <w:t> </w:t>
      </w:r>
      <w:r>
        <w:rPr>
          <w:rFonts w:ascii="Times New Roman" w:hAnsi="Times New Roman"/>
          <w:sz w:val="20"/>
          <w:szCs w:val="20"/>
        </w:rPr>
        <w:t>83</w:t>
      </w:r>
      <w:r w:rsidRPr="000F5B3A">
        <w:rPr>
          <w:rFonts w:ascii="Times New Roman" w:hAnsi="Times New Roman"/>
          <w:sz w:val="20"/>
          <w:szCs w:val="20"/>
        </w:rPr>
        <w:t xml:space="preserve">2 Kč k pokrytí financování vydávání občanských průkazů jednotlivými Úřady městských částí.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Financování vydávání občanských průkazů včetně souvislostí se řídí podle ustanovení obsažených v </w:t>
      </w:r>
      <w:proofErr w:type="gramStart"/>
      <w:r w:rsidRPr="000F5B3A">
        <w:rPr>
          <w:rFonts w:ascii="Times New Roman" w:hAnsi="Times New Roman"/>
          <w:sz w:val="20"/>
          <w:szCs w:val="20"/>
        </w:rPr>
        <w:t>části 1.F) této</w:t>
      </w:r>
      <w:proofErr w:type="gramEnd"/>
      <w:r w:rsidRPr="000F5B3A">
        <w:rPr>
          <w:rFonts w:ascii="Times New Roman" w:hAnsi="Times New Roman"/>
          <w:sz w:val="20"/>
          <w:szCs w:val="20"/>
        </w:rPr>
        <w:t xml:space="preserve"> přílohy.</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C) Financování veřejného opatrovnictví včetně souvislostí </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Příspěvek na výkon státní správy pro hlavní město Prahu se navyšuje o částku 23 548 000 Kč k pokrytí financování veřejného opatrovnictví k zabezpečení 812 </w:t>
      </w:r>
      <w:proofErr w:type="spellStart"/>
      <w:r w:rsidRPr="000F5B3A">
        <w:rPr>
          <w:rFonts w:ascii="Times New Roman" w:hAnsi="Times New Roman"/>
          <w:sz w:val="20"/>
          <w:szCs w:val="20"/>
        </w:rPr>
        <w:t>opatrovanců</w:t>
      </w:r>
      <w:proofErr w:type="spellEnd"/>
      <w:r w:rsidRPr="000F5B3A">
        <w:rPr>
          <w:rFonts w:ascii="Times New Roman" w:hAnsi="Times New Roman"/>
          <w:sz w:val="20"/>
          <w:szCs w:val="20"/>
        </w:rPr>
        <w:t xml:space="preserve">.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Financování veřejného opatrovnictví včetně souvislostí se řídí podle ustanovení obsažených v </w:t>
      </w:r>
      <w:proofErr w:type="gramStart"/>
      <w:r w:rsidRPr="000F5B3A">
        <w:rPr>
          <w:rFonts w:ascii="Times New Roman" w:hAnsi="Times New Roman"/>
          <w:sz w:val="20"/>
          <w:szCs w:val="20"/>
        </w:rPr>
        <w:t>části 1.D) této</w:t>
      </w:r>
      <w:proofErr w:type="gramEnd"/>
      <w:r w:rsidRPr="000F5B3A">
        <w:rPr>
          <w:rFonts w:ascii="Times New Roman" w:hAnsi="Times New Roman"/>
          <w:sz w:val="20"/>
          <w:szCs w:val="20"/>
        </w:rPr>
        <w:t xml:space="preserve"> přílohy. </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sz w:val="24"/>
          <w:szCs w:val="24"/>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sz w:val="24"/>
          <w:szCs w:val="24"/>
        </w:rPr>
      </w:pPr>
      <w:r w:rsidRPr="000F5B3A">
        <w:rPr>
          <w:rFonts w:ascii="Times New Roman" w:hAnsi="Times New Roman"/>
          <w:b/>
          <w:sz w:val="24"/>
          <w:szCs w:val="24"/>
        </w:rPr>
        <w:t xml:space="preserve">D) Financování jednotných kontaktních míst </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Příspěvek na výkon státní správy pro hlavní město Prahu se navyšuje o částku 1 980 000 Kč k zabezpečení činnosti </w:t>
      </w:r>
      <w:r w:rsidRPr="000F5B3A">
        <w:rPr>
          <w:rFonts w:ascii="Times New Roman" w:hAnsi="Times New Roman"/>
          <w:i/>
          <w:sz w:val="20"/>
          <w:szCs w:val="20"/>
        </w:rPr>
        <w:t>jednotných kontaktních míst</w:t>
      </w:r>
      <w:r w:rsidRPr="000F5B3A">
        <w:rPr>
          <w:rFonts w:ascii="Times New Roman" w:hAnsi="Times New Roman"/>
          <w:sz w:val="20"/>
          <w:szCs w:val="20"/>
        </w:rPr>
        <w:t xml:space="preserve"> Úřadu městské části Praha 1 a Úřadu městské části Praha 7. Pro Prahu 1 příspěvek činí 1 518 000 Kč, pro Prahu 7 je příspěvek ve výši 462 000 Kč.</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 xml:space="preserve">Financování jednotných kontaktních míst včetně souvislostí se řídí podle ustanovení obsažených v </w:t>
      </w:r>
      <w:proofErr w:type="gramStart"/>
      <w:r w:rsidRPr="000F5B3A">
        <w:rPr>
          <w:rFonts w:ascii="Times New Roman" w:hAnsi="Times New Roman"/>
          <w:sz w:val="20"/>
          <w:szCs w:val="20"/>
        </w:rPr>
        <w:t>části 1.E) této</w:t>
      </w:r>
      <w:proofErr w:type="gramEnd"/>
      <w:r w:rsidRPr="000F5B3A">
        <w:rPr>
          <w:rFonts w:ascii="Times New Roman" w:hAnsi="Times New Roman"/>
          <w:sz w:val="20"/>
          <w:szCs w:val="20"/>
        </w:rPr>
        <w:t xml:space="preserve"> přílohy.</w:t>
      </w:r>
    </w:p>
    <w:p w:rsidR="006812EC" w:rsidRPr="000F5B3A" w:rsidRDefault="006812EC" w:rsidP="006812EC">
      <w:pPr>
        <w:widowControl w:val="0"/>
        <w:autoSpaceDE w:val="0"/>
        <w:autoSpaceDN w:val="0"/>
        <w:adjustRightInd w:val="0"/>
        <w:spacing w:after="0" w:line="240" w:lineRule="auto"/>
        <w:jc w:val="both"/>
        <w:rPr>
          <w:rFonts w:ascii="Times New Roman" w:hAnsi="Times New Roman"/>
          <w:b/>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b/>
          <w:sz w:val="24"/>
          <w:szCs w:val="24"/>
        </w:rPr>
      </w:pPr>
      <w:r>
        <w:rPr>
          <w:rFonts w:ascii="Times New Roman" w:hAnsi="Times New Roman"/>
          <w:b/>
          <w:sz w:val="24"/>
          <w:szCs w:val="24"/>
        </w:rPr>
        <w:t>E</w:t>
      </w:r>
      <w:r w:rsidRPr="000F5B3A">
        <w:rPr>
          <w:rFonts w:ascii="Times New Roman" w:hAnsi="Times New Roman"/>
          <w:b/>
          <w:sz w:val="24"/>
          <w:szCs w:val="24"/>
        </w:rPr>
        <w:t>) Financování úřadů územního plánování</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w:t>
      </w:r>
      <w:r w:rsidRPr="000F5B3A">
        <w:rPr>
          <w:rFonts w:ascii="Times New Roman" w:hAnsi="Times New Roman"/>
          <w:sz w:val="20"/>
          <w:szCs w:val="20"/>
        </w:rPr>
        <w:t>říspěv</w:t>
      </w:r>
      <w:r>
        <w:rPr>
          <w:rFonts w:ascii="Times New Roman" w:hAnsi="Times New Roman"/>
          <w:sz w:val="20"/>
          <w:szCs w:val="20"/>
        </w:rPr>
        <w:t>e</w:t>
      </w:r>
      <w:r w:rsidRPr="000F5B3A">
        <w:rPr>
          <w:rFonts w:ascii="Times New Roman" w:hAnsi="Times New Roman"/>
          <w:sz w:val="20"/>
          <w:szCs w:val="20"/>
        </w:rPr>
        <w:t>k na výkon státní správy pro hlavní město Prahu se navyšuje o částku 10 84</w:t>
      </w:r>
      <w:r>
        <w:rPr>
          <w:rFonts w:ascii="Times New Roman" w:hAnsi="Times New Roman"/>
          <w:sz w:val="20"/>
          <w:szCs w:val="20"/>
        </w:rPr>
        <w:t>6</w:t>
      </w:r>
      <w:r w:rsidRPr="000F5B3A">
        <w:rPr>
          <w:rFonts w:ascii="Times New Roman" w:hAnsi="Times New Roman"/>
          <w:sz w:val="20"/>
          <w:szCs w:val="20"/>
        </w:rPr>
        <w:t> </w:t>
      </w:r>
      <w:r>
        <w:rPr>
          <w:rFonts w:ascii="Times New Roman" w:hAnsi="Times New Roman"/>
          <w:sz w:val="20"/>
          <w:szCs w:val="20"/>
        </w:rPr>
        <w:t>225</w:t>
      </w:r>
      <w:r w:rsidRPr="000F5B3A">
        <w:rPr>
          <w:rFonts w:ascii="Times New Roman" w:hAnsi="Times New Roman"/>
          <w:sz w:val="20"/>
          <w:szCs w:val="20"/>
        </w:rPr>
        <w:t xml:space="preserve"> Kč k pokrytí financování nárůstu agendy úřadu územního plánování.</w:t>
      </w:r>
    </w:p>
    <w:p w:rsidR="006812EC" w:rsidRPr="000F5B3A" w:rsidRDefault="006812EC" w:rsidP="006812EC">
      <w:pPr>
        <w:widowControl w:val="0"/>
        <w:overflowPunct w:val="0"/>
        <w:autoSpaceDE w:val="0"/>
        <w:autoSpaceDN w:val="0"/>
        <w:adjustRightInd w:val="0"/>
        <w:spacing w:after="0" w:line="240" w:lineRule="auto"/>
        <w:ind w:right="40"/>
        <w:jc w:val="both"/>
        <w:rPr>
          <w:rFonts w:ascii="Times New Roman" w:hAnsi="Times New Roman"/>
          <w:sz w:val="24"/>
          <w:szCs w:val="24"/>
        </w:rPr>
      </w:pPr>
    </w:p>
    <w:p w:rsidR="006812EC" w:rsidRPr="000A0896" w:rsidRDefault="00985AD9" w:rsidP="006812EC">
      <w:pPr>
        <w:widowControl w:val="0"/>
        <w:overflowPunct w:val="0"/>
        <w:autoSpaceDE w:val="0"/>
        <w:autoSpaceDN w:val="0"/>
        <w:adjustRightInd w:val="0"/>
        <w:spacing w:after="0" w:line="240" w:lineRule="auto"/>
        <w:ind w:right="40"/>
        <w:jc w:val="both"/>
        <w:rPr>
          <w:rFonts w:ascii="Times New Roman" w:hAnsi="Times New Roman"/>
          <w:sz w:val="20"/>
          <w:szCs w:val="20"/>
        </w:rPr>
      </w:pPr>
      <w:r w:rsidRPr="000A0896">
        <w:rPr>
          <w:rFonts w:ascii="Times New Roman" w:hAnsi="Times New Roman"/>
          <w:sz w:val="20"/>
          <w:szCs w:val="20"/>
        </w:rPr>
        <w:t>Financování úřadu územního plánování včetně souvislostí se řídí podle ustanovení obsažených v </w:t>
      </w:r>
      <w:proofErr w:type="gramStart"/>
      <w:r w:rsidRPr="000A0896">
        <w:rPr>
          <w:rFonts w:ascii="Times New Roman" w:hAnsi="Times New Roman"/>
          <w:sz w:val="20"/>
          <w:szCs w:val="20"/>
        </w:rPr>
        <w:t>části 1.G) této</w:t>
      </w:r>
      <w:proofErr w:type="gramEnd"/>
      <w:r w:rsidRPr="000A0896">
        <w:rPr>
          <w:rFonts w:ascii="Times New Roman" w:hAnsi="Times New Roman"/>
          <w:sz w:val="20"/>
          <w:szCs w:val="20"/>
        </w:rPr>
        <w:t xml:space="preserve"> přílohy.</w:t>
      </w:r>
    </w:p>
    <w:p w:rsidR="00985AD9" w:rsidRPr="000A0896" w:rsidRDefault="00985AD9" w:rsidP="006812EC">
      <w:pPr>
        <w:widowControl w:val="0"/>
        <w:overflowPunct w:val="0"/>
        <w:autoSpaceDE w:val="0"/>
        <w:autoSpaceDN w:val="0"/>
        <w:adjustRightInd w:val="0"/>
        <w:spacing w:after="0" w:line="240" w:lineRule="auto"/>
        <w:ind w:right="40"/>
        <w:jc w:val="both"/>
        <w:rPr>
          <w:rFonts w:ascii="Times New Roman" w:hAnsi="Times New Roman"/>
          <w:sz w:val="20"/>
          <w:szCs w:val="20"/>
        </w:rPr>
      </w:pPr>
    </w:p>
    <w:p w:rsidR="006812EC" w:rsidRPr="000A0896" w:rsidRDefault="00985AD9" w:rsidP="006812EC">
      <w:pPr>
        <w:widowControl w:val="0"/>
        <w:autoSpaceDE w:val="0"/>
        <w:autoSpaceDN w:val="0"/>
        <w:adjustRightInd w:val="0"/>
        <w:spacing w:after="0" w:line="240" w:lineRule="auto"/>
        <w:jc w:val="both"/>
        <w:rPr>
          <w:rFonts w:ascii="Times New Roman" w:hAnsi="Times New Roman"/>
          <w:sz w:val="20"/>
          <w:szCs w:val="20"/>
        </w:rPr>
      </w:pPr>
      <w:r w:rsidRPr="000A0896">
        <w:rPr>
          <w:rFonts w:ascii="Times New Roman" w:hAnsi="Times New Roman"/>
          <w:sz w:val="20"/>
          <w:szCs w:val="20"/>
        </w:rPr>
        <w:t>Výše příspěvku na výkon státní správy pro hlavní město Prahu zahrnuje částky určené postupem stanoveným v </w:t>
      </w:r>
      <w:proofErr w:type="gramStart"/>
      <w:r w:rsidRPr="000A0896">
        <w:rPr>
          <w:rFonts w:ascii="Times New Roman" w:hAnsi="Times New Roman"/>
          <w:sz w:val="20"/>
          <w:szCs w:val="20"/>
        </w:rPr>
        <w:t>části 2.A), 2.B) [včetně</w:t>
      </w:r>
      <w:proofErr w:type="gramEnd"/>
      <w:r w:rsidRPr="000A0896">
        <w:rPr>
          <w:rFonts w:ascii="Times New Roman" w:hAnsi="Times New Roman"/>
          <w:sz w:val="20"/>
          <w:szCs w:val="20"/>
        </w:rPr>
        <w:t xml:space="preserve"> B1)], 2.C), 2.D) a 2.E). </w:t>
      </w:r>
      <w:r w:rsidR="006812EC" w:rsidRPr="000A0896">
        <w:rPr>
          <w:rFonts w:ascii="Times New Roman" w:hAnsi="Times New Roman"/>
          <w:sz w:val="20"/>
          <w:szCs w:val="20"/>
        </w:rPr>
        <w:t xml:space="preserve">Takto zjištěná hodnota se zaokrouhluje na celé stokoruny podle matematických zásad. </w:t>
      </w:r>
    </w:p>
    <w:p w:rsidR="006812EC" w:rsidRPr="000F5B3A" w:rsidRDefault="006812EC" w:rsidP="006812EC">
      <w:pPr>
        <w:widowControl w:val="0"/>
        <w:autoSpaceDE w:val="0"/>
        <w:autoSpaceDN w:val="0"/>
        <w:adjustRightInd w:val="0"/>
        <w:spacing w:after="0" w:line="240" w:lineRule="auto"/>
        <w:rPr>
          <w:rFonts w:ascii="Times New Roman" w:hAnsi="Times New Roman"/>
          <w:sz w:val="20"/>
          <w:szCs w:val="20"/>
        </w:rPr>
      </w:pPr>
      <w:r w:rsidRPr="000F5B3A">
        <w:rPr>
          <w:rFonts w:ascii="Times New Roman" w:hAnsi="Times New Roman"/>
          <w:sz w:val="20"/>
          <w:szCs w:val="20"/>
        </w:rPr>
        <w:t xml:space="preserve"> </w:t>
      </w:r>
    </w:p>
    <w:p w:rsidR="006812EC" w:rsidRPr="000F5B3A" w:rsidRDefault="00CB1A72" w:rsidP="006812EC">
      <w:pPr>
        <w:widowControl w:val="0"/>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14</w:t>
      </w:r>
      <w:r w:rsidR="006812EC" w:rsidRPr="000F5B3A">
        <w:rPr>
          <w:rFonts w:ascii="Times New Roman" w:hAnsi="Times New Roman"/>
          <w:i/>
          <w:sz w:val="20"/>
          <w:szCs w:val="20"/>
          <w:vertAlign w:val="superscript"/>
        </w:rPr>
        <w:t>)</w:t>
      </w:r>
      <w:r w:rsidR="006812EC" w:rsidRPr="000F5B3A">
        <w:rPr>
          <w:rFonts w:ascii="Times New Roman" w:hAnsi="Times New Roman"/>
          <w:i/>
          <w:sz w:val="20"/>
          <w:szCs w:val="20"/>
        </w:rPr>
        <w:t xml:space="preserve"> </w:t>
      </w:r>
      <w:hyperlink r:id="rId32" w:history="1">
        <w:r w:rsidR="006812EC" w:rsidRPr="000F5B3A">
          <w:rPr>
            <w:rFonts w:ascii="Times New Roman" w:hAnsi="Times New Roman"/>
            <w:i/>
            <w:sz w:val="20"/>
            <w:szCs w:val="20"/>
            <w:u w:val="single"/>
          </w:rPr>
          <w:t>§ 31 odst. 4 zákona č. 131/2000 Sb.</w:t>
        </w:r>
      </w:hyperlink>
      <w:r w:rsidR="006812EC" w:rsidRPr="000F5B3A">
        <w:rPr>
          <w:rFonts w:ascii="Times New Roman" w:hAnsi="Times New Roman"/>
          <w:i/>
          <w:sz w:val="20"/>
          <w:szCs w:val="20"/>
        </w:rPr>
        <w:t xml:space="preserve">, o hlavním městě Praze, ve znění pozdějších předpisů.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b/>
          <w:bCs/>
          <w:sz w:val="24"/>
          <w:szCs w:val="24"/>
        </w:rPr>
      </w:pPr>
      <w:r w:rsidRPr="000F5B3A">
        <w:rPr>
          <w:rFonts w:ascii="Times New Roman" w:hAnsi="Times New Roman"/>
          <w:b/>
          <w:bCs/>
          <w:sz w:val="24"/>
          <w:szCs w:val="24"/>
        </w:rPr>
        <w:t xml:space="preserve">3. Postup pro přerozdělení výše příspěvku na výkon státní správy v průběhu kalendářního roku </w:t>
      </w: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p>
    <w:p w:rsidR="006812EC" w:rsidRPr="000F5B3A" w:rsidRDefault="006812EC" w:rsidP="006812EC">
      <w:pPr>
        <w:widowControl w:val="0"/>
        <w:autoSpaceDE w:val="0"/>
        <w:autoSpaceDN w:val="0"/>
        <w:adjustRightInd w:val="0"/>
        <w:spacing w:after="0" w:line="240" w:lineRule="auto"/>
        <w:jc w:val="both"/>
        <w:rPr>
          <w:rFonts w:ascii="Times New Roman" w:hAnsi="Times New Roman"/>
          <w:sz w:val="20"/>
          <w:szCs w:val="20"/>
        </w:rPr>
      </w:pPr>
      <w:r w:rsidRPr="000F5B3A">
        <w:rPr>
          <w:rFonts w:ascii="Times New Roman" w:hAnsi="Times New Roman"/>
          <w:sz w:val="20"/>
          <w:szCs w:val="20"/>
        </w:rPr>
        <w:t>Pokud krajský úřad zcela výjimečně rozhodne o převodu výkonu přenesené působnosti v průběhu kalendářního roku, náleží příslušná část příspěvku na výkon státní správy dosavadního vykonavatele obci, která povinnost výkonu přenesené působnosti přebírá, a to vždy v poměrné části příspěvku od začátku čtvrtletí následujícího po rozhodnutí krajského úřadu. Krajský úřad o svém rozhodnutí a s tím souvisejícími změnami správních obvodů výkonu přenesené působnosti jednotlivých obcí neprodleně informuje Ministerstvo vnitra a Ministerstvo financí.</w:t>
      </w:r>
    </w:p>
    <w:p w:rsidR="00AB26E8" w:rsidRDefault="00AB26E8"/>
    <w:sectPr w:rsidR="00AB26E8" w:rsidSect="006334E3">
      <w:headerReference w:type="default" r:id="rId33"/>
      <w:headerReference w:type="first" r:id="rId34"/>
      <w:pgSz w:w="11907" w:h="16840"/>
      <w:pgMar w:top="1418" w:right="1418" w:bottom="1418" w:left="1418" w:header="708" w:footer="708" w:gutter="0"/>
      <w:pgNumType w:start="68"/>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BC" w:rsidRDefault="007A51BC">
      <w:pPr>
        <w:spacing w:after="0" w:line="240" w:lineRule="auto"/>
      </w:pPr>
      <w:r>
        <w:separator/>
      </w:r>
    </w:p>
  </w:endnote>
  <w:endnote w:type="continuationSeparator" w:id="0">
    <w:p w:rsidR="007A51BC" w:rsidRDefault="007A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BC" w:rsidRDefault="007A51BC">
      <w:pPr>
        <w:spacing w:after="0" w:line="240" w:lineRule="auto"/>
      </w:pPr>
      <w:r>
        <w:separator/>
      </w:r>
    </w:p>
  </w:footnote>
  <w:footnote w:type="continuationSeparator" w:id="0">
    <w:p w:rsidR="007A51BC" w:rsidRDefault="007A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E3" w:rsidRDefault="006334E3">
    <w:pPr>
      <w:pStyle w:val="Zhlav"/>
      <w:jc w:val="center"/>
    </w:pPr>
  </w:p>
  <w:p w:rsidR="006334E3" w:rsidRDefault="006334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56497"/>
      <w:docPartObj>
        <w:docPartGallery w:val="Page Numbers (Top of Page)"/>
        <w:docPartUnique/>
      </w:docPartObj>
    </w:sdtPr>
    <w:sdtEndPr/>
    <w:sdtContent>
      <w:p w:rsidR="006334E3" w:rsidRDefault="006334E3">
        <w:pPr>
          <w:pStyle w:val="Zhlav"/>
          <w:jc w:val="center"/>
        </w:pPr>
        <w:r>
          <w:t>68</w:t>
        </w:r>
      </w:p>
    </w:sdtContent>
  </w:sdt>
  <w:p w:rsidR="00FA4699" w:rsidRDefault="007A51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62D0"/>
    <w:multiLevelType w:val="hybridMultilevel"/>
    <w:tmpl w:val="06229884"/>
    <w:lvl w:ilvl="0" w:tplc="886065C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EC"/>
    <w:rsid w:val="00014988"/>
    <w:rsid w:val="00034C91"/>
    <w:rsid w:val="00063798"/>
    <w:rsid w:val="000911CC"/>
    <w:rsid w:val="000A0896"/>
    <w:rsid w:val="00187298"/>
    <w:rsid w:val="00276B3E"/>
    <w:rsid w:val="002833CA"/>
    <w:rsid w:val="00457227"/>
    <w:rsid w:val="004B3D5C"/>
    <w:rsid w:val="004B6FDF"/>
    <w:rsid w:val="004D585F"/>
    <w:rsid w:val="0052538D"/>
    <w:rsid w:val="00545BEC"/>
    <w:rsid w:val="006334E3"/>
    <w:rsid w:val="00635CB8"/>
    <w:rsid w:val="006812EC"/>
    <w:rsid w:val="006A2472"/>
    <w:rsid w:val="007A51BC"/>
    <w:rsid w:val="00937AC0"/>
    <w:rsid w:val="00985AD9"/>
    <w:rsid w:val="00A37250"/>
    <w:rsid w:val="00A419D5"/>
    <w:rsid w:val="00A631EF"/>
    <w:rsid w:val="00A95F98"/>
    <w:rsid w:val="00AB26E8"/>
    <w:rsid w:val="00AF7C7F"/>
    <w:rsid w:val="00B3144E"/>
    <w:rsid w:val="00C34980"/>
    <w:rsid w:val="00CB1A72"/>
    <w:rsid w:val="00CF197C"/>
    <w:rsid w:val="00D9002B"/>
    <w:rsid w:val="00F108E4"/>
    <w:rsid w:val="00FB0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2EC"/>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812EC"/>
    <w:pPr>
      <w:tabs>
        <w:tab w:val="center" w:pos="4536"/>
        <w:tab w:val="right" w:pos="9072"/>
      </w:tabs>
    </w:pPr>
  </w:style>
  <w:style w:type="character" w:customStyle="1" w:styleId="ZhlavChar">
    <w:name w:val="Záhlaví Char"/>
    <w:basedOn w:val="Standardnpsmoodstavce"/>
    <w:link w:val="Zhlav"/>
    <w:uiPriority w:val="99"/>
    <w:rsid w:val="006812EC"/>
    <w:rPr>
      <w:rFonts w:ascii="Calibri" w:eastAsia="Times New Roman" w:hAnsi="Calibri" w:cs="Times New Roman"/>
      <w:lang w:eastAsia="cs-CZ"/>
    </w:rPr>
  </w:style>
  <w:style w:type="paragraph" w:styleId="Zpat">
    <w:name w:val="footer"/>
    <w:basedOn w:val="Normln"/>
    <w:link w:val="ZpatChar"/>
    <w:uiPriority w:val="99"/>
    <w:unhideWhenUsed/>
    <w:rsid w:val="00CB1A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A72"/>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2EC"/>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812EC"/>
    <w:pPr>
      <w:tabs>
        <w:tab w:val="center" w:pos="4536"/>
        <w:tab w:val="right" w:pos="9072"/>
      </w:tabs>
    </w:pPr>
  </w:style>
  <w:style w:type="character" w:customStyle="1" w:styleId="ZhlavChar">
    <w:name w:val="Záhlaví Char"/>
    <w:basedOn w:val="Standardnpsmoodstavce"/>
    <w:link w:val="Zhlav"/>
    <w:uiPriority w:val="99"/>
    <w:rsid w:val="006812EC"/>
    <w:rPr>
      <w:rFonts w:ascii="Calibri" w:eastAsia="Times New Roman" w:hAnsi="Calibri" w:cs="Times New Roman"/>
      <w:lang w:eastAsia="cs-CZ"/>
    </w:rPr>
  </w:style>
  <w:style w:type="paragraph" w:styleId="Zpat">
    <w:name w:val="footer"/>
    <w:basedOn w:val="Normln"/>
    <w:link w:val="ZpatChar"/>
    <w:uiPriority w:val="99"/>
    <w:unhideWhenUsed/>
    <w:rsid w:val="00CB1A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A72"/>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aspi://module='ASPI'&amp;link='320/2001%20Sb.%2523'&amp;ucin-k-dni='30.12.9999'" TargetMode="External"/><Relationship Id="rId26" Type="http://schemas.openxmlformats.org/officeDocument/2006/relationships/hyperlink" Target="aspi://module='ASPI'&amp;link='292/2013%20Sb.%252337'&amp;ucin-k-dni='30.12.9999'" TargetMode="External"/><Relationship Id="rId3" Type="http://schemas.microsoft.com/office/2007/relationships/stylesWithEffects" Target="stylesWithEffects.xml"/><Relationship Id="rId21" Type="http://schemas.openxmlformats.org/officeDocument/2006/relationships/hyperlink" Target="aspi://module='ASPI'&amp;link='186/2013%20Sb.%252331-37'&amp;ucin-k-dni='30.12.999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aspi://module='ASPI'&amp;link='147/2000%20Sb.%252310'&amp;ucin-k-dni='30.12.9999'" TargetMode="External"/><Relationship Id="rId25" Type="http://schemas.openxmlformats.org/officeDocument/2006/relationships/hyperlink" Target="aspi://module='ASPI'&amp;link='89/2012%20Sb.%252358'&amp;ucin-k-dni='30.12.999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spi://module='ASPI'&amp;link='314/2002%20Sb.%25232'&amp;ucin-k-dni='30.12.9999'" TargetMode="External"/><Relationship Id="rId20" Type="http://schemas.openxmlformats.org/officeDocument/2006/relationships/hyperlink" Target="aspi://module='ASPI'&amp;link='301/2000%20Sb.%25233'&amp;ucin-k-dni='30.12.9999'" TargetMode="External"/><Relationship Id="rId29" Type="http://schemas.openxmlformats.org/officeDocument/2006/relationships/hyperlink" Target="aspi://module='ASPI'&amp;link='40/1964%20Sb.%252310'&amp;ucin-k-dni='30.12.99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388/2002%20Sb.%2523'&amp;ucin-k-dni='30.12.9999'" TargetMode="External"/><Relationship Id="rId24" Type="http://schemas.openxmlformats.org/officeDocument/2006/relationships/hyperlink" Target="aspi://module='ASPI'&amp;link='89/2012%20Sb.%2523469'&amp;ucin-k-dni='30.12.9999'" TargetMode="External"/><Relationship Id="rId32" Type="http://schemas.openxmlformats.org/officeDocument/2006/relationships/hyperlink" Target="aspi://module='ASPI'&amp;link='131/2000%20Sb.%252331'&amp;ucin-k-dni='30.12.9999'"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aspi://module='ASPI'&amp;link='89/2012%20Sb.%252362'&amp;ucin-k-dni='30.12.9999'" TargetMode="External"/><Relationship Id="rId28" Type="http://schemas.openxmlformats.org/officeDocument/2006/relationships/hyperlink" Target="aspi://module='ASPI'&amp;link='40/1964%20Sb.%252310'&amp;ucin-k-dni='30.12.9999'" TargetMode="External"/><Relationship Id="rId36" Type="http://schemas.openxmlformats.org/officeDocument/2006/relationships/theme" Target="theme/theme1.xml"/><Relationship Id="rId10" Type="http://schemas.openxmlformats.org/officeDocument/2006/relationships/hyperlink" Target="aspi://module='ASPI'&amp;link='128/2000%20Sb.%252362'&amp;ucin-k-dni='30.12.9999'" TargetMode="External"/><Relationship Id="rId19" Type="http://schemas.openxmlformats.org/officeDocument/2006/relationships/hyperlink" Target="aspi://module='ASPI'&amp;link='147/2000%20Sb.%2523'&amp;ucin-k-dni='30.12.9999'" TargetMode="External"/><Relationship Id="rId31" Type="http://schemas.openxmlformats.org/officeDocument/2006/relationships/hyperlink" Target="aspi://module='ASPI'&amp;link='131/2000%20Sb.%252331'&amp;ucin-k-dni='30.12.99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hyperlink" Target="aspi://module='ASPI'&amp;link='89/2012%20Sb.%252355'&amp;ucin-k-dni='30.12.9999'" TargetMode="External"/><Relationship Id="rId27" Type="http://schemas.openxmlformats.org/officeDocument/2006/relationships/hyperlink" Target="aspi://module='ASPI'&amp;link='89/2012%20Sb.%2523468'&amp;ucin-k-dni='30.12.9999'" TargetMode="External"/><Relationship Id="rId30" Type="http://schemas.openxmlformats.org/officeDocument/2006/relationships/hyperlink" Target="aspi://module='ASPI'&amp;link='131/2000%20Sb.%252331'&amp;ucin-k-dni='30.12.9999'"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2508</Words>
  <Characters>14802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Cába Jan</dc:creator>
  <cp:lastModifiedBy>Pavlíková Jaroslava Ing.</cp:lastModifiedBy>
  <cp:revision>9</cp:revision>
  <dcterms:created xsi:type="dcterms:W3CDTF">2018-12-20T08:36:00Z</dcterms:created>
  <dcterms:modified xsi:type="dcterms:W3CDTF">2018-12-20T08:46:00Z</dcterms:modified>
</cp:coreProperties>
</file>