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6A" w:rsidRDefault="0009536A">
      <w:pPr>
        <w:pStyle w:val="Popisky"/>
        <w:spacing w:before="20" w:after="2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Příloha OBCE č. 3</w:t>
      </w:r>
    </w:p>
    <w:p w:rsidR="0072364A" w:rsidRDefault="0072364A">
      <w:pPr>
        <w:pStyle w:val="Nzev"/>
        <w:spacing w:before="120" w:after="120" w:line="240" w:lineRule="auto"/>
        <w:jc w:val="left"/>
        <w:rPr>
          <w:szCs w:val="24"/>
          <w:u w:val="single"/>
        </w:rPr>
      </w:pPr>
    </w:p>
    <w:p w:rsidR="00BE0BD4" w:rsidRDefault="00BE0BD4">
      <w:pPr>
        <w:pStyle w:val="Nzev"/>
        <w:spacing w:before="120" w:after="120" w:line="240" w:lineRule="auto"/>
        <w:jc w:val="left"/>
        <w:rPr>
          <w:szCs w:val="24"/>
          <w:u w:val="single"/>
        </w:rPr>
      </w:pPr>
    </w:p>
    <w:p w:rsidR="0009536A" w:rsidRDefault="0009536A" w:rsidP="009C0D33">
      <w:pPr>
        <w:pStyle w:val="Nzev"/>
        <w:spacing w:before="120" w:after="120" w:line="240" w:lineRule="auto"/>
        <w:rPr>
          <w:sz w:val="32"/>
          <w:szCs w:val="24"/>
        </w:rPr>
      </w:pPr>
      <w:r w:rsidRPr="006151A6">
        <w:rPr>
          <w:sz w:val="32"/>
          <w:szCs w:val="24"/>
        </w:rPr>
        <w:t xml:space="preserve">Metodika financování obcí a hl. m. Prahy pro rok </w:t>
      </w:r>
      <w:r w:rsidR="004079C3">
        <w:rPr>
          <w:sz w:val="32"/>
          <w:szCs w:val="24"/>
        </w:rPr>
        <w:t>20</w:t>
      </w:r>
      <w:r w:rsidR="00421BF1">
        <w:rPr>
          <w:sz w:val="32"/>
          <w:szCs w:val="24"/>
        </w:rPr>
        <w:t>20</w:t>
      </w:r>
    </w:p>
    <w:p w:rsidR="004079C3" w:rsidRPr="006151A6" w:rsidRDefault="004079C3" w:rsidP="009C0D33">
      <w:pPr>
        <w:pStyle w:val="Nzev"/>
        <w:spacing w:before="120" w:after="120" w:line="240" w:lineRule="auto"/>
        <w:rPr>
          <w:sz w:val="32"/>
          <w:szCs w:val="24"/>
        </w:rPr>
      </w:pPr>
    </w:p>
    <w:p w:rsidR="0009536A" w:rsidRDefault="0009536A" w:rsidP="008D175F">
      <w:pPr>
        <w:pStyle w:val="Zkladntextodsazen"/>
        <w:framePr w:hSpace="0" w:wrap="auto" w:vAnchor="margin" w:yAlign="inline"/>
        <w:spacing w:before="120" w:after="120"/>
        <w:ind w:left="360" w:hanging="360"/>
        <w:rPr>
          <w:i w:val="0"/>
          <w:iCs w:val="0"/>
        </w:rPr>
      </w:pPr>
      <w:r>
        <w:rPr>
          <w:i w:val="0"/>
          <w:iCs w:val="0"/>
        </w:rPr>
        <w:t>I. Dotace pro obce</w:t>
      </w:r>
      <w:r w:rsidR="00365AAC">
        <w:rPr>
          <w:i w:val="0"/>
          <w:iCs w:val="0"/>
        </w:rPr>
        <w:t xml:space="preserve"> a </w:t>
      </w:r>
      <w:r>
        <w:rPr>
          <w:i w:val="0"/>
          <w:iCs w:val="0"/>
        </w:rPr>
        <w:t xml:space="preserve">hl. m. Prahu ve státním rozpočtu na rok </w:t>
      </w:r>
      <w:r w:rsidR="004B2213">
        <w:rPr>
          <w:i w:val="0"/>
          <w:iCs w:val="0"/>
        </w:rPr>
        <w:t>20</w:t>
      </w:r>
      <w:r w:rsidR="00421BF1">
        <w:rPr>
          <w:i w:val="0"/>
          <w:iCs w:val="0"/>
        </w:rPr>
        <w:t>20</w:t>
      </w:r>
      <w:r>
        <w:rPr>
          <w:i w:val="0"/>
          <w:iCs w:val="0"/>
        </w:rPr>
        <w:t xml:space="preserve"> a podmínky </w:t>
      </w:r>
      <w:r w:rsidR="007E07F0">
        <w:rPr>
          <w:i w:val="0"/>
          <w:iCs w:val="0"/>
        </w:rPr>
        <w:br/>
      </w:r>
      <w:r>
        <w:rPr>
          <w:i w:val="0"/>
          <w:iCs w:val="0"/>
        </w:rPr>
        <w:t>pro vyúčtování vybraných dotací</w:t>
      </w:r>
    </w:p>
    <w:p w:rsidR="0009536A" w:rsidRDefault="0009536A" w:rsidP="00D738F3">
      <w:pPr>
        <w:pStyle w:val="Zkladntextodsazen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360" w:lineRule="auto"/>
        <w:rPr>
          <w:b w:val="0"/>
          <w:bCs w:val="0"/>
          <w:i w:val="0"/>
          <w:iCs w:val="0"/>
        </w:rPr>
      </w:pPr>
      <w:r>
        <w:rPr>
          <w:i w:val="0"/>
          <w:iCs w:val="0"/>
        </w:rPr>
        <w:t xml:space="preserve">Referent: </w:t>
      </w:r>
      <w:r>
        <w:rPr>
          <w:b w:val="0"/>
          <w:bCs w:val="0"/>
          <w:i w:val="0"/>
          <w:iCs w:val="0"/>
        </w:rPr>
        <w:t>Ing. Jaroslava Pavlíková, tel. 25704 2638</w:t>
      </w:r>
    </w:p>
    <w:p w:rsidR="002A4AC0" w:rsidRDefault="002A4AC0">
      <w:pPr>
        <w:pStyle w:val="Zkladntextodsazen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</w:pPr>
    </w:p>
    <w:p w:rsidR="0009536A" w:rsidRDefault="0009536A">
      <w:pPr>
        <w:pStyle w:val="Zkladntextodsazen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 w:val="0"/>
        </w:rPr>
      </w:pPr>
      <w:r>
        <w:rPr>
          <w:i w:val="0"/>
          <w:iCs w:val="0"/>
        </w:rPr>
        <w:t>Obce a hl. m. Praha obdrží ze státního rozpočtu následující druhy dotací (příspěvků):</w:t>
      </w:r>
    </w:p>
    <w:p w:rsidR="0009536A" w:rsidRDefault="0009536A">
      <w:pPr>
        <w:pStyle w:val="Zkladntextodsazen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 w:val="0"/>
        </w:rPr>
      </w:pPr>
    </w:p>
    <w:p w:rsidR="0009536A" w:rsidRDefault="0009536A" w:rsidP="00883EC0">
      <w:pPr>
        <w:pStyle w:val="Zkladntextodsazen"/>
        <w:framePr w:hSpace="0" w:wrap="auto" w:vAnchor="margin" w:yAlign="inli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240"/>
        <w:ind w:left="714" w:hanging="35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Dotace (příspěvky) poskytované v rámci finanční</w:t>
      </w:r>
      <w:r w:rsidR="00C11028">
        <w:rPr>
          <w:b w:val="0"/>
          <w:bCs w:val="0"/>
          <w:i w:val="0"/>
          <w:iCs w:val="0"/>
        </w:rPr>
        <w:t>ch</w:t>
      </w:r>
      <w:r>
        <w:rPr>
          <w:b w:val="0"/>
          <w:bCs w:val="0"/>
          <w:i w:val="0"/>
          <w:iCs w:val="0"/>
        </w:rPr>
        <w:t xml:space="preserve"> vztah</w:t>
      </w:r>
      <w:r w:rsidR="00C11028">
        <w:rPr>
          <w:b w:val="0"/>
          <w:bCs w:val="0"/>
          <w:i w:val="0"/>
          <w:iCs w:val="0"/>
        </w:rPr>
        <w:t>ů</w:t>
      </w:r>
      <w:r>
        <w:rPr>
          <w:b w:val="0"/>
          <w:bCs w:val="0"/>
          <w:i w:val="0"/>
          <w:iCs w:val="0"/>
        </w:rPr>
        <w:t xml:space="preserve"> státního rozpočtu k rozpočtům obcí v úhrnech po jednotlivých krajích (příloha č. 6 k zákonu o státním rozpočtu </w:t>
      </w:r>
      <w:r w:rsidR="006A60CE">
        <w:rPr>
          <w:b w:val="0"/>
          <w:bCs w:val="0"/>
          <w:i w:val="0"/>
          <w:iCs w:val="0"/>
        </w:rPr>
        <w:t xml:space="preserve">České republiky </w:t>
      </w:r>
      <w:r>
        <w:rPr>
          <w:b w:val="0"/>
          <w:bCs w:val="0"/>
          <w:i w:val="0"/>
          <w:iCs w:val="0"/>
        </w:rPr>
        <w:t xml:space="preserve">na rok </w:t>
      </w:r>
      <w:r w:rsidR="004B2213">
        <w:rPr>
          <w:b w:val="0"/>
          <w:bCs w:val="0"/>
          <w:i w:val="0"/>
          <w:iCs w:val="0"/>
        </w:rPr>
        <w:t>20</w:t>
      </w:r>
      <w:r w:rsidR="00421BF1">
        <w:rPr>
          <w:b w:val="0"/>
          <w:bCs w:val="0"/>
          <w:i w:val="0"/>
          <w:iCs w:val="0"/>
        </w:rPr>
        <w:t>20</w:t>
      </w:r>
      <w:r>
        <w:rPr>
          <w:b w:val="0"/>
          <w:bCs w:val="0"/>
          <w:i w:val="0"/>
          <w:iCs w:val="0"/>
        </w:rPr>
        <w:t xml:space="preserve">) a finančního vztahu státního rozpočtu k rozpočtu hlavního města Prahy (příloha č. 7 k zákonu o státním rozpočtu </w:t>
      </w:r>
      <w:r w:rsidR="006A60CE">
        <w:rPr>
          <w:b w:val="0"/>
          <w:bCs w:val="0"/>
          <w:i w:val="0"/>
          <w:iCs w:val="0"/>
        </w:rPr>
        <w:t xml:space="preserve">České republiky </w:t>
      </w:r>
      <w:r>
        <w:rPr>
          <w:b w:val="0"/>
          <w:bCs w:val="0"/>
          <w:i w:val="0"/>
          <w:iCs w:val="0"/>
        </w:rPr>
        <w:t xml:space="preserve">na rok </w:t>
      </w:r>
      <w:r w:rsidR="004B2213">
        <w:rPr>
          <w:b w:val="0"/>
          <w:bCs w:val="0"/>
          <w:i w:val="0"/>
          <w:iCs w:val="0"/>
        </w:rPr>
        <w:t>20</w:t>
      </w:r>
      <w:r w:rsidR="00421BF1">
        <w:rPr>
          <w:b w:val="0"/>
          <w:bCs w:val="0"/>
          <w:i w:val="0"/>
          <w:iCs w:val="0"/>
        </w:rPr>
        <w:t>20</w:t>
      </w:r>
      <w:r>
        <w:rPr>
          <w:b w:val="0"/>
          <w:bCs w:val="0"/>
          <w:i w:val="0"/>
          <w:iCs w:val="0"/>
        </w:rPr>
        <w:t>).</w:t>
      </w:r>
    </w:p>
    <w:p w:rsidR="0009536A" w:rsidRDefault="0009536A">
      <w:pPr>
        <w:pStyle w:val="Zkladntextodsazen"/>
        <w:framePr w:hSpace="0" w:wrap="auto" w:vAnchor="margin" w:yAlign="inli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ind w:hanging="35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Ostatní dotace v kapitole Všeobecná pokladní správa.</w:t>
      </w:r>
    </w:p>
    <w:p w:rsidR="0009536A" w:rsidRDefault="0009536A">
      <w:pPr>
        <w:pStyle w:val="Zkladntextodsazen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 w:hanging="35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C. </w:t>
      </w:r>
      <w:r>
        <w:rPr>
          <w:b w:val="0"/>
          <w:bCs w:val="0"/>
          <w:i w:val="0"/>
          <w:iCs w:val="0"/>
        </w:rPr>
        <w:tab/>
        <w:t>Dotace z ostatních kapitol státního rozpočtu.</w:t>
      </w:r>
    </w:p>
    <w:p w:rsidR="0009536A" w:rsidRDefault="0009536A">
      <w:pPr>
        <w:pStyle w:val="Zkladntextodsazen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 w:val="0"/>
        </w:rPr>
      </w:pPr>
    </w:p>
    <w:p w:rsidR="0009536A" w:rsidRPr="00E045D8" w:rsidRDefault="0009536A">
      <w:pPr>
        <w:pStyle w:val="Zkladntextodsazen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 w:val="0"/>
        </w:rPr>
      </w:pPr>
      <w:r w:rsidRPr="00E045D8">
        <w:rPr>
          <w:i w:val="0"/>
          <w:iCs w:val="0"/>
        </w:rPr>
        <w:t>Ad A) Dotace (příspěvky) poskytované v rámci finanční</w:t>
      </w:r>
      <w:r w:rsidR="00C11028" w:rsidRPr="00E045D8">
        <w:rPr>
          <w:i w:val="0"/>
          <w:iCs w:val="0"/>
        </w:rPr>
        <w:t>ch</w:t>
      </w:r>
      <w:r w:rsidRPr="00E045D8">
        <w:rPr>
          <w:i w:val="0"/>
          <w:iCs w:val="0"/>
        </w:rPr>
        <w:t xml:space="preserve"> vztah</w:t>
      </w:r>
      <w:r w:rsidR="00C11028" w:rsidRPr="00E045D8">
        <w:rPr>
          <w:i w:val="0"/>
          <w:iCs w:val="0"/>
        </w:rPr>
        <w:t>ů</w:t>
      </w:r>
      <w:r w:rsidRPr="00E045D8">
        <w:rPr>
          <w:i w:val="0"/>
          <w:iCs w:val="0"/>
        </w:rPr>
        <w:t xml:space="preserve"> státního rozpočtu k rozpočtům obcí v úhrnech po jednotlivých krajích (příloha č. 6 k zákonu o státním rozpočtu </w:t>
      </w:r>
      <w:r w:rsidR="00305261">
        <w:rPr>
          <w:i w:val="0"/>
          <w:iCs w:val="0"/>
        </w:rPr>
        <w:t xml:space="preserve">České republiky </w:t>
      </w:r>
      <w:r w:rsidRPr="00E045D8">
        <w:rPr>
          <w:i w:val="0"/>
          <w:iCs w:val="0"/>
        </w:rPr>
        <w:t xml:space="preserve">na rok </w:t>
      </w:r>
      <w:r w:rsidR="004B2213">
        <w:rPr>
          <w:i w:val="0"/>
          <w:iCs w:val="0"/>
        </w:rPr>
        <w:t>20</w:t>
      </w:r>
      <w:r w:rsidR="00421BF1">
        <w:rPr>
          <w:i w:val="0"/>
          <w:iCs w:val="0"/>
        </w:rPr>
        <w:t>20</w:t>
      </w:r>
      <w:r w:rsidRPr="00E045D8">
        <w:rPr>
          <w:i w:val="0"/>
          <w:iCs w:val="0"/>
        </w:rPr>
        <w:t xml:space="preserve">) a finančního vztahu státního rozpočtu k rozpočtu hlavního města Prahy (příloha č. 7 k zákonu o státním rozpočtu </w:t>
      </w:r>
      <w:r w:rsidR="00305261">
        <w:rPr>
          <w:i w:val="0"/>
          <w:iCs w:val="0"/>
        </w:rPr>
        <w:t xml:space="preserve">České republiky </w:t>
      </w:r>
      <w:r w:rsidRPr="00E045D8">
        <w:rPr>
          <w:i w:val="0"/>
          <w:iCs w:val="0"/>
        </w:rPr>
        <w:t xml:space="preserve">na rok </w:t>
      </w:r>
      <w:r w:rsidR="004B2213">
        <w:rPr>
          <w:i w:val="0"/>
          <w:iCs w:val="0"/>
        </w:rPr>
        <w:t>20</w:t>
      </w:r>
      <w:r w:rsidR="00421BF1">
        <w:rPr>
          <w:i w:val="0"/>
          <w:iCs w:val="0"/>
        </w:rPr>
        <w:t>20</w:t>
      </w:r>
      <w:r w:rsidRPr="00E045D8">
        <w:rPr>
          <w:i w:val="0"/>
          <w:iCs w:val="0"/>
        </w:rPr>
        <w:t>)</w:t>
      </w:r>
    </w:p>
    <w:p w:rsidR="0009536A" w:rsidRDefault="0009536A">
      <w:pPr>
        <w:jc w:val="both"/>
      </w:pPr>
    </w:p>
    <w:p w:rsidR="004A6CD1" w:rsidRPr="009124BD" w:rsidRDefault="0056064D" w:rsidP="004A6CD1">
      <w:pPr>
        <w:pStyle w:val="Zkladntext"/>
        <w:spacing w:line="240" w:lineRule="auto"/>
      </w:pPr>
      <w:r>
        <w:t xml:space="preserve">Obsahem finančních vztahů státního rozpočtu k rozpočtům obcí v úhrnech po jednotlivých </w:t>
      </w:r>
      <w:r w:rsidRPr="009124BD">
        <w:t>krajích</w:t>
      </w:r>
      <w:r w:rsidR="00CE4629" w:rsidRPr="009124BD">
        <w:t xml:space="preserve"> a</w:t>
      </w:r>
      <w:r w:rsidRPr="009124BD">
        <w:t xml:space="preserve"> k rozpočtu hl. m. Prahy </w:t>
      </w:r>
      <w:r w:rsidR="00CE4629" w:rsidRPr="009124BD">
        <w:t xml:space="preserve">je pouze </w:t>
      </w:r>
      <w:r w:rsidRPr="009124BD">
        <w:rPr>
          <w:b/>
        </w:rPr>
        <w:t>příspěvek na výkon státní správy</w:t>
      </w:r>
      <w:r w:rsidRPr="009124BD">
        <w:t xml:space="preserve">. </w:t>
      </w:r>
    </w:p>
    <w:p w:rsidR="0009536A" w:rsidRDefault="0009536A" w:rsidP="009C0D33">
      <w:pPr>
        <w:pStyle w:val="Zkladntext"/>
        <w:spacing w:before="240" w:line="240" w:lineRule="auto"/>
      </w:pPr>
      <w:r w:rsidRPr="009C0D33">
        <w:rPr>
          <w:b/>
        </w:rPr>
        <w:t>Finanční vztahy</w:t>
      </w:r>
      <w:r>
        <w:t xml:space="preserve"> obsahují</w:t>
      </w:r>
      <w:r w:rsidR="00543DC5">
        <w:t>:</w:t>
      </w:r>
    </w:p>
    <w:p w:rsidR="0009536A" w:rsidRPr="00696A78" w:rsidRDefault="0009536A">
      <w:pPr>
        <w:numPr>
          <w:ilvl w:val="0"/>
          <w:numId w:val="10"/>
        </w:numPr>
        <w:tabs>
          <w:tab w:val="right" w:pos="9000"/>
        </w:tabs>
        <w:ind w:left="357" w:hanging="357"/>
        <w:rPr>
          <w:b/>
          <w:bCs/>
          <w:iCs/>
        </w:rPr>
      </w:pPr>
      <w:r w:rsidRPr="00696A78">
        <w:rPr>
          <w:b/>
          <w:bCs/>
          <w:iCs/>
        </w:rPr>
        <w:t>Příspěvek na výkon státní správy celkem</w:t>
      </w:r>
      <w:r w:rsidR="00CE4629">
        <w:rPr>
          <w:b/>
          <w:bCs/>
          <w:iCs/>
        </w:rPr>
        <w:t xml:space="preserve"> </w:t>
      </w:r>
      <w:r w:rsidR="00CE4629">
        <w:rPr>
          <w:b/>
          <w:bCs/>
          <w:iCs/>
        </w:rPr>
        <w:tab/>
        <w:t xml:space="preserve">10 969 879 200 </w:t>
      </w:r>
      <w:r w:rsidRPr="00696A78">
        <w:rPr>
          <w:b/>
          <w:bCs/>
          <w:iCs/>
        </w:rPr>
        <w:t>Kč</w:t>
      </w:r>
    </w:p>
    <w:p w:rsidR="0009536A" w:rsidRPr="00696A78" w:rsidRDefault="0009536A">
      <w:pPr>
        <w:tabs>
          <w:tab w:val="left" w:pos="360"/>
          <w:tab w:val="left" w:pos="1260"/>
          <w:tab w:val="right" w:pos="9000"/>
        </w:tabs>
        <w:rPr>
          <w:b/>
          <w:bCs/>
          <w:iCs/>
        </w:rPr>
      </w:pPr>
      <w:r w:rsidRPr="00696A78">
        <w:rPr>
          <w:b/>
          <w:bCs/>
          <w:iCs/>
        </w:rPr>
        <w:tab/>
        <w:t xml:space="preserve">z toho: </w:t>
      </w:r>
      <w:r w:rsidRPr="00696A78">
        <w:rPr>
          <w:b/>
          <w:bCs/>
          <w:iCs/>
        </w:rPr>
        <w:tab/>
        <w:t>pro obce v jednotlivých krajích</w:t>
      </w:r>
      <w:r w:rsidRPr="00696A78">
        <w:rPr>
          <w:b/>
          <w:bCs/>
          <w:iCs/>
        </w:rPr>
        <w:tab/>
      </w:r>
      <w:r w:rsidR="00543DC5">
        <w:rPr>
          <w:b/>
          <w:bCs/>
          <w:iCs/>
        </w:rPr>
        <w:t>9</w:t>
      </w:r>
      <w:r w:rsidR="00CE4629">
        <w:rPr>
          <w:b/>
          <w:bCs/>
          <w:iCs/>
        </w:rPr>
        <w:t> 828 964 200</w:t>
      </w:r>
      <w:r w:rsidRPr="00696A78">
        <w:rPr>
          <w:b/>
          <w:bCs/>
          <w:iCs/>
        </w:rPr>
        <w:t xml:space="preserve"> Kč</w:t>
      </w:r>
    </w:p>
    <w:p w:rsidR="0009536A" w:rsidRDefault="0009536A">
      <w:pPr>
        <w:tabs>
          <w:tab w:val="left" w:pos="1260"/>
          <w:tab w:val="right" w:pos="9000"/>
        </w:tabs>
        <w:spacing w:after="240"/>
        <w:ind w:left="360"/>
        <w:rPr>
          <w:b/>
          <w:bCs/>
          <w:iCs/>
        </w:rPr>
      </w:pPr>
      <w:r w:rsidRPr="00696A78">
        <w:rPr>
          <w:b/>
          <w:bCs/>
          <w:iCs/>
        </w:rPr>
        <w:tab/>
        <w:t>pro hl. m. Prahu</w:t>
      </w:r>
      <w:r w:rsidRPr="00696A78">
        <w:rPr>
          <w:b/>
          <w:bCs/>
          <w:iCs/>
        </w:rPr>
        <w:tab/>
      </w:r>
      <w:r w:rsidR="00CE4629">
        <w:rPr>
          <w:b/>
          <w:bCs/>
          <w:iCs/>
        </w:rPr>
        <w:t>1 140 915 000</w:t>
      </w:r>
      <w:r w:rsidRPr="00696A78">
        <w:rPr>
          <w:b/>
          <w:bCs/>
          <w:iCs/>
        </w:rPr>
        <w:t xml:space="preserve"> Kč</w:t>
      </w:r>
    </w:p>
    <w:p w:rsidR="003C6D17" w:rsidRPr="009C61FA" w:rsidRDefault="003C6D17" w:rsidP="00584FDB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360" w:after="240"/>
        <w:ind w:left="425" w:hanging="425"/>
        <w:jc w:val="both"/>
        <w:rPr>
          <w:rFonts w:eastAsia="SymbolMT"/>
          <w:b/>
          <w:bCs/>
          <w:iCs/>
          <w:color w:val="000000"/>
          <w:sz w:val="25"/>
          <w:szCs w:val="25"/>
        </w:rPr>
      </w:pPr>
      <w:r w:rsidRPr="009C61FA">
        <w:rPr>
          <w:rFonts w:eastAsia="SymbolMT"/>
          <w:b/>
          <w:bCs/>
          <w:iCs/>
          <w:color w:val="000000"/>
          <w:sz w:val="25"/>
          <w:szCs w:val="25"/>
        </w:rPr>
        <w:t xml:space="preserve">Příspěvek na výkon státní správy pro obce </w:t>
      </w:r>
    </w:p>
    <w:p w:rsidR="003C6D17" w:rsidRPr="00696A78" w:rsidRDefault="003C6D17" w:rsidP="00696A78">
      <w:pPr>
        <w:autoSpaceDE w:val="0"/>
        <w:autoSpaceDN w:val="0"/>
        <w:adjustRightInd w:val="0"/>
        <w:spacing w:before="120" w:after="240"/>
        <w:jc w:val="both"/>
        <w:rPr>
          <w:rFonts w:eastAsia="SymbolMT"/>
          <w:b/>
          <w:i/>
          <w:color w:val="000000"/>
        </w:rPr>
      </w:pPr>
      <w:r w:rsidRPr="00696A78">
        <w:rPr>
          <w:rFonts w:eastAsia="SymbolMT"/>
          <w:b/>
          <w:i/>
          <w:color w:val="000000"/>
        </w:rPr>
        <w:t xml:space="preserve">Obecná charakteristika příspěvku na výkon státní správy pro obce: </w:t>
      </w:r>
    </w:p>
    <w:p w:rsidR="00F82E73" w:rsidRDefault="003C6D17" w:rsidP="002F43BC">
      <w:pPr>
        <w:autoSpaceDE w:val="0"/>
        <w:autoSpaceDN w:val="0"/>
        <w:adjustRightInd w:val="0"/>
        <w:spacing w:before="120" w:after="120"/>
        <w:jc w:val="both"/>
        <w:rPr>
          <w:rFonts w:eastAsia="SymbolMT"/>
          <w:color w:val="000000"/>
        </w:rPr>
      </w:pPr>
      <w:r w:rsidRPr="003C6D17">
        <w:rPr>
          <w:rFonts w:eastAsia="SymbolMT"/>
          <w:color w:val="000000"/>
        </w:rPr>
        <w:t>Příspěvek je určen na částečnou úhradu výdajů spojených s výkonem státní správy dle § 62 zákona č. 128/2000 Sb., o obcích (obecní zřízení), ve znění pozdějších předpisů.  Pro rok 20</w:t>
      </w:r>
      <w:r w:rsidR="006B7CC4">
        <w:rPr>
          <w:rFonts w:eastAsia="SymbolMT"/>
          <w:color w:val="000000"/>
        </w:rPr>
        <w:t>20</w:t>
      </w:r>
      <w:r w:rsidRPr="003C6D17">
        <w:rPr>
          <w:rFonts w:eastAsia="SymbolMT"/>
          <w:color w:val="000000"/>
        </w:rPr>
        <w:t xml:space="preserve"> zůstává zachována </w:t>
      </w:r>
      <w:r w:rsidRPr="003C6D17">
        <w:rPr>
          <w:rFonts w:eastAsia="SymbolMT"/>
          <w:b/>
          <w:color w:val="000000"/>
        </w:rPr>
        <w:t xml:space="preserve">pro všechny kategorie obcí </w:t>
      </w:r>
      <w:r w:rsidR="00CD1481">
        <w:rPr>
          <w:rFonts w:eastAsia="SymbolMT"/>
          <w:b/>
          <w:color w:val="000000"/>
        </w:rPr>
        <w:t xml:space="preserve">(s výjimkou hl. m. Prahy) </w:t>
      </w:r>
      <w:r w:rsidRPr="003C6D17">
        <w:rPr>
          <w:rFonts w:eastAsia="SymbolMT"/>
          <w:b/>
          <w:color w:val="000000"/>
        </w:rPr>
        <w:t xml:space="preserve">kumulovaná konstrukce příspěvku, tj. příspěvek představuje součet dílčích částek vypočtených pro jednotlivé </w:t>
      </w:r>
      <w:r w:rsidR="00467FB7">
        <w:rPr>
          <w:rFonts w:eastAsia="SymbolMT"/>
          <w:b/>
          <w:color w:val="000000"/>
        </w:rPr>
        <w:t xml:space="preserve">oblasti </w:t>
      </w:r>
      <w:r w:rsidRPr="003C6D17">
        <w:rPr>
          <w:rFonts w:eastAsia="SymbolMT"/>
          <w:b/>
          <w:color w:val="000000"/>
        </w:rPr>
        <w:t>správní</w:t>
      </w:r>
      <w:r w:rsidR="00467FB7">
        <w:rPr>
          <w:rFonts w:eastAsia="SymbolMT"/>
          <w:b/>
          <w:color w:val="000000"/>
        </w:rPr>
        <w:t>ch</w:t>
      </w:r>
      <w:r w:rsidRPr="003C6D17">
        <w:rPr>
          <w:rFonts w:eastAsia="SymbolMT"/>
          <w:b/>
          <w:color w:val="000000"/>
        </w:rPr>
        <w:t xml:space="preserve"> </w:t>
      </w:r>
      <w:r w:rsidR="00681FAF">
        <w:rPr>
          <w:rFonts w:eastAsia="SymbolMT"/>
          <w:b/>
          <w:color w:val="000000"/>
        </w:rPr>
        <w:t>působností</w:t>
      </w:r>
      <w:r w:rsidR="007E602D">
        <w:rPr>
          <w:rFonts w:eastAsia="SymbolMT"/>
          <w:b/>
          <w:color w:val="000000"/>
        </w:rPr>
        <w:t>, které obce vykonávají</w:t>
      </w:r>
      <w:r w:rsidRPr="003C6D17">
        <w:rPr>
          <w:rFonts w:eastAsia="SymbolMT"/>
          <w:b/>
          <w:color w:val="000000"/>
        </w:rPr>
        <w:t xml:space="preserve"> </w:t>
      </w:r>
      <w:r w:rsidRPr="003C6D17">
        <w:rPr>
          <w:rFonts w:eastAsia="SymbolMT"/>
          <w:color w:val="000000"/>
        </w:rPr>
        <w:lastRenderedPageBreak/>
        <w:t>(základní působnost, působnost matričního úřadu, působnost stavebního úřadu, působnost pověřeného obecního úřadu a působnost obce s rozšířenou působností).</w:t>
      </w:r>
    </w:p>
    <w:p w:rsidR="00706988" w:rsidRDefault="003C6D17" w:rsidP="002F43BC">
      <w:pPr>
        <w:autoSpaceDE w:val="0"/>
        <w:autoSpaceDN w:val="0"/>
        <w:adjustRightInd w:val="0"/>
        <w:spacing w:before="120" w:after="120"/>
        <w:jc w:val="both"/>
        <w:rPr>
          <w:rFonts w:eastAsia="SymbolMT"/>
          <w:color w:val="000000"/>
        </w:rPr>
      </w:pPr>
      <w:r w:rsidRPr="003C6D17">
        <w:rPr>
          <w:rFonts w:eastAsia="SymbolMT"/>
          <w:color w:val="000000"/>
        </w:rPr>
        <w:t>U</w:t>
      </w:r>
      <w:r w:rsidR="00695917">
        <w:rPr>
          <w:rFonts w:eastAsia="SymbolMT"/>
          <w:color w:val="000000"/>
        </w:rPr>
        <w:t> </w:t>
      </w:r>
      <w:r w:rsidRPr="003C6D17">
        <w:rPr>
          <w:rFonts w:eastAsia="SymbolMT"/>
          <w:color w:val="000000"/>
        </w:rPr>
        <w:t xml:space="preserve">některých obcí se navíc přičítají částky na zajištění </w:t>
      </w:r>
      <w:r w:rsidRPr="00F82E73">
        <w:rPr>
          <w:rFonts w:eastAsia="SymbolMT"/>
          <w:b/>
          <w:color w:val="000000"/>
        </w:rPr>
        <w:t>dalších specifických správních činností</w:t>
      </w:r>
      <w:r w:rsidRPr="003C6D17">
        <w:rPr>
          <w:rFonts w:eastAsia="SymbolMT"/>
          <w:color w:val="000000"/>
        </w:rPr>
        <w:t xml:space="preserve"> (část</w:t>
      </w:r>
      <w:r w:rsidR="00CD1481">
        <w:rPr>
          <w:rFonts w:eastAsia="SymbolMT"/>
          <w:color w:val="000000"/>
        </w:rPr>
        <w:t>i</w:t>
      </w:r>
      <w:r w:rsidRPr="003C6D17">
        <w:rPr>
          <w:rFonts w:eastAsia="SymbolMT"/>
          <w:color w:val="000000"/>
        </w:rPr>
        <w:t xml:space="preserve"> </w:t>
      </w:r>
      <w:r w:rsidRPr="003C6D17">
        <w:rPr>
          <w:rFonts w:eastAsia="SymbolMT"/>
          <w:b/>
          <w:color w:val="000000"/>
        </w:rPr>
        <w:t>1.C), 1.D), 1.E)</w:t>
      </w:r>
      <w:r w:rsidR="007E602D">
        <w:rPr>
          <w:rFonts w:eastAsia="SymbolMT"/>
          <w:b/>
          <w:color w:val="000000"/>
        </w:rPr>
        <w:t xml:space="preserve">, </w:t>
      </w:r>
      <w:r w:rsidRPr="003C6D17">
        <w:rPr>
          <w:rFonts w:eastAsia="SymbolMT"/>
          <w:b/>
          <w:color w:val="000000"/>
        </w:rPr>
        <w:t>1.F</w:t>
      </w:r>
      <w:r w:rsidRPr="008D031B">
        <w:rPr>
          <w:rFonts w:eastAsia="SymbolMT"/>
          <w:b/>
          <w:color w:val="000000"/>
        </w:rPr>
        <w:t>)</w:t>
      </w:r>
      <w:r w:rsidR="006B7CC4">
        <w:rPr>
          <w:rFonts w:eastAsia="SymbolMT"/>
          <w:b/>
          <w:color w:val="000000"/>
        </w:rPr>
        <w:t xml:space="preserve">, </w:t>
      </w:r>
      <w:r w:rsidR="008D031B" w:rsidRPr="008D031B">
        <w:rPr>
          <w:rFonts w:eastAsia="SymbolMT"/>
          <w:b/>
          <w:color w:val="000000"/>
        </w:rPr>
        <w:t>1.G</w:t>
      </w:r>
      <w:r w:rsidR="008D031B">
        <w:rPr>
          <w:rFonts w:eastAsia="SymbolMT"/>
          <w:b/>
          <w:color w:val="000000"/>
        </w:rPr>
        <w:t>)</w:t>
      </w:r>
      <w:r w:rsidR="006B7CC4">
        <w:rPr>
          <w:rFonts w:eastAsia="SymbolMT"/>
          <w:b/>
          <w:color w:val="000000"/>
        </w:rPr>
        <w:t>, 1.H) a 1.I)</w:t>
      </w:r>
      <w:r w:rsidR="008D031B">
        <w:rPr>
          <w:rFonts w:eastAsia="SymbolMT"/>
          <w:color w:val="000000"/>
        </w:rPr>
        <w:t xml:space="preserve"> </w:t>
      </w:r>
      <w:r w:rsidRPr="00BF1FB7">
        <w:rPr>
          <w:rFonts w:eastAsia="SymbolMT"/>
          <w:b/>
          <w:color w:val="000000"/>
        </w:rPr>
        <w:t>přílohy č. 8</w:t>
      </w:r>
      <w:r w:rsidRPr="003C6D17">
        <w:rPr>
          <w:rFonts w:eastAsia="SymbolMT"/>
          <w:color w:val="000000"/>
        </w:rPr>
        <w:t xml:space="preserve"> k  zákon</w:t>
      </w:r>
      <w:r w:rsidR="00D649C0">
        <w:rPr>
          <w:rFonts w:eastAsia="SymbolMT"/>
          <w:color w:val="000000"/>
        </w:rPr>
        <w:t>u</w:t>
      </w:r>
      <w:r w:rsidRPr="003C6D17">
        <w:rPr>
          <w:rFonts w:eastAsia="SymbolMT"/>
          <w:color w:val="000000"/>
        </w:rPr>
        <w:t xml:space="preserve"> o státním rozpočtu </w:t>
      </w:r>
      <w:r w:rsidR="00305261">
        <w:rPr>
          <w:rFonts w:eastAsia="SymbolMT"/>
          <w:color w:val="000000"/>
        </w:rPr>
        <w:t>České republiky</w:t>
      </w:r>
      <w:r w:rsidRPr="003C6D17">
        <w:rPr>
          <w:rFonts w:eastAsia="SymbolMT"/>
          <w:color w:val="000000"/>
        </w:rPr>
        <w:t xml:space="preserve"> na rok 20</w:t>
      </w:r>
      <w:r w:rsidR="006B7CC4">
        <w:rPr>
          <w:rFonts w:eastAsia="SymbolMT"/>
          <w:color w:val="000000"/>
        </w:rPr>
        <w:t>20</w:t>
      </w:r>
      <w:r w:rsidRPr="003C6D17">
        <w:rPr>
          <w:rFonts w:eastAsia="SymbolMT"/>
          <w:color w:val="000000"/>
        </w:rPr>
        <w:t>)</w:t>
      </w:r>
      <w:r w:rsidR="00FC02F7">
        <w:rPr>
          <w:rFonts w:eastAsia="SymbolMT"/>
          <w:color w:val="000000"/>
        </w:rPr>
        <w:t>:</w:t>
      </w:r>
    </w:p>
    <w:p w:rsidR="00706988" w:rsidRDefault="00706988" w:rsidP="004633E3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eastAsia="SymbolMT"/>
          <w:color w:val="000000"/>
        </w:rPr>
      </w:pPr>
      <w:r>
        <w:rPr>
          <w:rFonts w:eastAsia="SymbolMT"/>
          <w:color w:val="000000"/>
        </w:rPr>
        <w:t xml:space="preserve">Financování </w:t>
      </w:r>
      <w:r w:rsidR="003C6D17" w:rsidRPr="00D42F27">
        <w:rPr>
          <w:rFonts w:eastAsia="SymbolMT"/>
          <w:b/>
          <w:color w:val="000000"/>
        </w:rPr>
        <w:t>veřejného opatrovnictví</w:t>
      </w:r>
      <w:r w:rsidR="003C6D17" w:rsidRPr="003C6D17">
        <w:rPr>
          <w:rFonts w:eastAsia="SymbolMT"/>
          <w:color w:val="000000"/>
        </w:rPr>
        <w:t xml:space="preserve"> obcemi</w:t>
      </w:r>
      <w:r w:rsidR="003C6D17">
        <w:rPr>
          <w:rFonts w:eastAsia="SymbolMT"/>
          <w:color w:val="000000"/>
        </w:rPr>
        <w:t xml:space="preserve"> </w:t>
      </w:r>
      <w:r>
        <w:rPr>
          <w:rFonts w:eastAsia="SymbolMT"/>
          <w:color w:val="000000"/>
        </w:rPr>
        <w:t xml:space="preserve">v závislosti na faktickém počtu opatrovanců k rozhodnému dni 31. březnu 2019 </w:t>
      </w:r>
      <w:r w:rsidR="003C6D17">
        <w:rPr>
          <w:rFonts w:eastAsia="SymbolMT"/>
          <w:color w:val="000000"/>
        </w:rPr>
        <w:t>(</w:t>
      </w:r>
      <w:r>
        <w:rPr>
          <w:rFonts w:eastAsia="SymbolMT"/>
          <w:color w:val="000000"/>
        </w:rPr>
        <w:t xml:space="preserve">částka </w:t>
      </w:r>
      <w:r w:rsidR="003C6D17">
        <w:rPr>
          <w:rFonts w:eastAsia="SymbolMT"/>
          <w:color w:val="000000"/>
        </w:rPr>
        <w:t>29 000 Kč na 1</w:t>
      </w:r>
      <w:r w:rsidR="00695917">
        <w:rPr>
          <w:rFonts w:eastAsia="SymbolMT"/>
          <w:color w:val="000000"/>
        </w:rPr>
        <w:t> </w:t>
      </w:r>
      <w:r w:rsidR="003C6D17">
        <w:rPr>
          <w:rFonts w:eastAsia="SymbolMT"/>
          <w:color w:val="000000"/>
        </w:rPr>
        <w:t>opatrovance za rok)</w:t>
      </w:r>
      <w:r w:rsidR="008130FC">
        <w:rPr>
          <w:rFonts w:eastAsia="SymbolMT"/>
          <w:color w:val="000000"/>
        </w:rPr>
        <w:t>;</w:t>
      </w:r>
    </w:p>
    <w:p w:rsidR="007B35AB" w:rsidRDefault="00706988" w:rsidP="004633E3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eastAsia="SymbolMT"/>
          <w:color w:val="000000"/>
        </w:rPr>
      </w:pPr>
      <w:r>
        <w:rPr>
          <w:rFonts w:eastAsia="SymbolMT"/>
          <w:color w:val="000000"/>
        </w:rPr>
        <w:t xml:space="preserve">Financování </w:t>
      </w:r>
      <w:r w:rsidR="0058495D" w:rsidRPr="00D42F27">
        <w:rPr>
          <w:rFonts w:eastAsia="SymbolMT"/>
          <w:b/>
          <w:color w:val="000000"/>
        </w:rPr>
        <w:t>jednotných kontaktních míst</w:t>
      </w:r>
      <w:r w:rsidR="0058495D">
        <w:rPr>
          <w:rFonts w:eastAsia="SymbolMT"/>
          <w:color w:val="000000"/>
        </w:rPr>
        <w:t xml:space="preserve"> (</w:t>
      </w:r>
      <w:r w:rsidR="007B35AB">
        <w:rPr>
          <w:rFonts w:eastAsia="SymbolMT"/>
          <w:color w:val="000000"/>
        </w:rPr>
        <w:t xml:space="preserve">na základě </w:t>
      </w:r>
      <w:r w:rsidR="0058495D">
        <w:rPr>
          <w:rFonts w:eastAsia="SymbolMT"/>
          <w:color w:val="000000"/>
        </w:rPr>
        <w:t xml:space="preserve">zaevidovaných a </w:t>
      </w:r>
      <w:r w:rsidR="007B35AB">
        <w:rPr>
          <w:rFonts w:eastAsia="SymbolMT"/>
          <w:color w:val="000000"/>
        </w:rPr>
        <w:t xml:space="preserve">následně </w:t>
      </w:r>
      <w:r w:rsidR="0058495D">
        <w:rPr>
          <w:rFonts w:eastAsia="SymbolMT"/>
          <w:color w:val="000000"/>
        </w:rPr>
        <w:t>řešených dotazů</w:t>
      </w:r>
      <w:r w:rsidR="007B35AB">
        <w:rPr>
          <w:rFonts w:eastAsia="SymbolMT"/>
          <w:color w:val="000000"/>
        </w:rPr>
        <w:t xml:space="preserve"> klienta bez duplicit takovéhoto dotazu za </w:t>
      </w:r>
      <w:r w:rsidR="004633E3">
        <w:rPr>
          <w:rFonts w:eastAsia="SymbolMT"/>
          <w:color w:val="000000"/>
        </w:rPr>
        <w:t xml:space="preserve">rozhodné </w:t>
      </w:r>
      <w:r w:rsidR="007B35AB">
        <w:rPr>
          <w:rFonts w:eastAsia="SymbolMT"/>
          <w:color w:val="000000"/>
        </w:rPr>
        <w:t>období od 1.</w:t>
      </w:r>
      <w:r w:rsidR="008130FC">
        <w:rPr>
          <w:rFonts w:eastAsia="SymbolMT"/>
          <w:color w:val="000000"/>
        </w:rPr>
        <w:t xml:space="preserve"> </w:t>
      </w:r>
      <w:r w:rsidR="007B35AB">
        <w:rPr>
          <w:rFonts w:eastAsia="SymbolMT"/>
          <w:color w:val="000000"/>
        </w:rPr>
        <w:t>1. do 31. 12. 2018</w:t>
      </w:r>
      <w:r w:rsidR="0058495D">
        <w:rPr>
          <w:rFonts w:eastAsia="SymbolMT"/>
          <w:color w:val="000000"/>
        </w:rPr>
        <w:t>)</w:t>
      </w:r>
      <w:r w:rsidR="007B35AB">
        <w:rPr>
          <w:rFonts w:eastAsia="SymbolMT"/>
          <w:color w:val="000000"/>
        </w:rPr>
        <w:t>. Konkrétní počet dotazů je zařazen do odpovídajícího intervalu, na který jsou navázány finanční prostředky (viz příloha č. 8 k zákonu o státním rozpočtu na rok 2020);</w:t>
      </w:r>
    </w:p>
    <w:p w:rsidR="00FF4F09" w:rsidRDefault="007B35AB" w:rsidP="004633E3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eastAsia="SymbolMT"/>
          <w:color w:val="000000"/>
        </w:rPr>
      </w:pPr>
      <w:r>
        <w:rPr>
          <w:rFonts w:eastAsia="SymbolMT"/>
          <w:color w:val="000000"/>
        </w:rPr>
        <w:t>Financování vyd</w:t>
      </w:r>
      <w:r w:rsidR="003C6D17" w:rsidRPr="003C6D17">
        <w:rPr>
          <w:rFonts w:eastAsia="SymbolMT"/>
          <w:color w:val="000000"/>
        </w:rPr>
        <w:t xml:space="preserve">ávání </w:t>
      </w:r>
      <w:r w:rsidR="003C6D17" w:rsidRPr="00D42F27">
        <w:rPr>
          <w:rFonts w:eastAsia="SymbolMT"/>
          <w:b/>
          <w:color w:val="000000"/>
        </w:rPr>
        <w:t>občanských průkazů</w:t>
      </w:r>
      <w:r w:rsidR="003C6D17" w:rsidRPr="003C6D17">
        <w:rPr>
          <w:rFonts w:eastAsia="SymbolMT"/>
          <w:color w:val="000000"/>
        </w:rPr>
        <w:t xml:space="preserve"> </w:t>
      </w:r>
      <w:r w:rsidR="0006392A">
        <w:rPr>
          <w:rFonts w:eastAsia="SymbolMT"/>
          <w:color w:val="000000"/>
        </w:rPr>
        <w:t xml:space="preserve">v závislosti na počtu podaných žádostí </w:t>
      </w:r>
      <w:r w:rsidR="003C6D17">
        <w:rPr>
          <w:rFonts w:eastAsia="SymbolMT"/>
          <w:color w:val="000000"/>
        </w:rPr>
        <w:t>(1</w:t>
      </w:r>
      <w:r w:rsidR="008A0DD5">
        <w:rPr>
          <w:rFonts w:eastAsia="SymbolMT"/>
          <w:color w:val="000000"/>
        </w:rPr>
        <w:t>1</w:t>
      </w:r>
      <w:r w:rsidR="0058495D">
        <w:rPr>
          <w:rFonts w:eastAsia="SymbolMT"/>
          <w:color w:val="000000"/>
        </w:rPr>
        <w:t>5</w:t>
      </w:r>
      <w:r w:rsidR="003C6D17">
        <w:rPr>
          <w:rFonts w:eastAsia="SymbolMT"/>
          <w:color w:val="000000"/>
        </w:rPr>
        <w:t xml:space="preserve"> Kč za </w:t>
      </w:r>
      <w:r w:rsidR="006957E5">
        <w:rPr>
          <w:rFonts w:eastAsia="SymbolMT"/>
          <w:color w:val="000000"/>
        </w:rPr>
        <w:t xml:space="preserve">každou přijatou </w:t>
      </w:r>
      <w:r w:rsidR="003C6D17">
        <w:rPr>
          <w:rFonts w:eastAsia="SymbolMT"/>
          <w:color w:val="000000"/>
        </w:rPr>
        <w:t>žádost o</w:t>
      </w:r>
      <w:r w:rsidR="00695917">
        <w:rPr>
          <w:rFonts w:eastAsia="SymbolMT"/>
          <w:color w:val="000000"/>
        </w:rPr>
        <w:t> </w:t>
      </w:r>
      <w:r w:rsidR="003C6D17">
        <w:rPr>
          <w:rFonts w:eastAsia="SymbolMT"/>
          <w:color w:val="000000"/>
        </w:rPr>
        <w:t xml:space="preserve">vydání </w:t>
      </w:r>
      <w:r w:rsidR="003C6D17" w:rsidRPr="00475698">
        <w:rPr>
          <w:rFonts w:eastAsia="SymbolMT"/>
          <w:color w:val="000000"/>
        </w:rPr>
        <w:t>průkazu</w:t>
      </w:r>
      <w:r w:rsidR="006957E5">
        <w:rPr>
          <w:rFonts w:eastAsia="SymbolMT"/>
          <w:color w:val="000000"/>
        </w:rPr>
        <w:t xml:space="preserve">). </w:t>
      </w:r>
      <w:r w:rsidR="00FF4F09">
        <w:rPr>
          <w:rFonts w:eastAsia="SymbolMT"/>
          <w:color w:val="000000"/>
        </w:rPr>
        <w:t xml:space="preserve">Rozhodným </w:t>
      </w:r>
      <w:r w:rsidR="00807E44">
        <w:rPr>
          <w:rFonts w:eastAsia="SymbolMT"/>
          <w:color w:val="000000"/>
        </w:rPr>
        <w:t xml:space="preserve">obdobím </w:t>
      </w:r>
      <w:r w:rsidR="00FF4F09">
        <w:rPr>
          <w:rFonts w:eastAsia="SymbolMT"/>
          <w:color w:val="000000"/>
        </w:rPr>
        <w:t>pro stanovení počtu podaných žádostí</w:t>
      </w:r>
      <w:r w:rsidR="006957E5">
        <w:rPr>
          <w:rFonts w:eastAsia="SymbolMT"/>
          <w:color w:val="000000"/>
        </w:rPr>
        <w:t xml:space="preserve"> o vydání občanských průkazů</w:t>
      </w:r>
      <w:r w:rsidR="00FF4F09">
        <w:rPr>
          <w:rFonts w:eastAsia="SymbolMT"/>
          <w:color w:val="000000"/>
        </w:rPr>
        <w:t xml:space="preserve"> je období od 1.</w:t>
      </w:r>
      <w:r w:rsidR="008130FC">
        <w:rPr>
          <w:rFonts w:eastAsia="SymbolMT"/>
          <w:color w:val="000000"/>
        </w:rPr>
        <w:t xml:space="preserve"> </w:t>
      </w:r>
      <w:r w:rsidR="00FF4F09">
        <w:rPr>
          <w:rFonts w:eastAsia="SymbolMT"/>
          <w:color w:val="000000"/>
        </w:rPr>
        <w:t>1. do 31.</w:t>
      </w:r>
      <w:r w:rsidR="008130FC">
        <w:rPr>
          <w:rFonts w:eastAsia="SymbolMT"/>
          <w:color w:val="000000"/>
        </w:rPr>
        <w:t xml:space="preserve"> </w:t>
      </w:r>
      <w:r w:rsidR="00FF4F09">
        <w:rPr>
          <w:rFonts w:eastAsia="SymbolMT"/>
          <w:color w:val="000000"/>
        </w:rPr>
        <w:t>12.</w:t>
      </w:r>
      <w:r w:rsidR="008130FC">
        <w:rPr>
          <w:rFonts w:eastAsia="SymbolMT"/>
          <w:color w:val="000000"/>
        </w:rPr>
        <w:t xml:space="preserve"> </w:t>
      </w:r>
      <w:r w:rsidR="00FF4F09">
        <w:rPr>
          <w:rFonts w:eastAsia="SymbolMT"/>
          <w:color w:val="000000"/>
        </w:rPr>
        <w:t>2018</w:t>
      </w:r>
      <w:r w:rsidR="008130FC">
        <w:rPr>
          <w:rFonts w:eastAsia="SymbolMT"/>
          <w:color w:val="000000"/>
        </w:rPr>
        <w:t>;</w:t>
      </w:r>
      <w:r w:rsidR="00FF4F09">
        <w:rPr>
          <w:rFonts w:eastAsia="SymbolMT"/>
          <w:color w:val="000000"/>
        </w:rPr>
        <w:t xml:space="preserve"> </w:t>
      </w:r>
    </w:p>
    <w:p w:rsidR="0006392A" w:rsidRDefault="00FF4F09" w:rsidP="004633E3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eastAsia="SymbolMT"/>
          <w:color w:val="000000"/>
        </w:rPr>
      </w:pPr>
      <w:r>
        <w:rPr>
          <w:rFonts w:eastAsia="SymbolMT"/>
          <w:color w:val="000000"/>
        </w:rPr>
        <w:t xml:space="preserve">Financování </w:t>
      </w:r>
      <w:r w:rsidR="00D42F27">
        <w:rPr>
          <w:rFonts w:eastAsia="SymbolMT"/>
          <w:color w:val="000000"/>
        </w:rPr>
        <w:t xml:space="preserve">vydávání </w:t>
      </w:r>
      <w:r w:rsidR="00D42F27" w:rsidRPr="00D42F27">
        <w:rPr>
          <w:rFonts w:eastAsia="SymbolMT"/>
          <w:b/>
          <w:color w:val="000000"/>
        </w:rPr>
        <w:t>řidičských průkazů</w:t>
      </w:r>
      <w:r w:rsidR="00D42F27">
        <w:rPr>
          <w:rFonts w:eastAsia="SymbolMT"/>
          <w:color w:val="000000"/>
        </w:rPr>
        <w:t xml:space="preserve"> (</w:t>
      </w:r>
      <w:r>
        <w:rPr>
          <w:rFonts w:eastAsia="SymbolMT"/>
          <w:color w:val="000000"/>
        </w:rPr>
        <w:t xml:space="preserve">paušální platba </w:t>
      </w:r>
      <w:r w:rsidR="00D42F27">
        <w:rPr>
          <w:rFonts w:eastAsia="SymbolMT"/>
          <w:color w:val="000000"/>
        </w:rPr>
        <w:t xml:space="preserve">115 Kč za </w:t>
      </w:r>
      <w:r w:rsidR="00CE382A">
        <w:rPr>
          <w:rFonts w:eastAsia="SymbolMT"/>
          <w:color w:val="000000"/>
        </w:rPr>
        <w:t>přijatou</w:t>
      </w:r>
      <w:r w:rsidR="00D42F27">
        <w:rPr>
          <w:rFonts w:eastAsia="SymbolMT"/>
          <w:color w:val="000000"/>
        </w:rPr>
        <w:t xml:space="preserve"> žádost o vydání </w:t>
      </w:r>
      <w:r w:rsidR="004633E3">
        <w:rPr>
          <w:rFonts w:eastAsia="SymbolMT"/>
          <w:color w:val="000000"/>
        </w:rPr>
        <w:t xml:space="preserve">řidičského </w:t>
      </w:r>
      <w:r w:rsidR="00D42F27">
        <w:rPr>
          <w:rFonts w:eastAsia="SymbolMT"/>
          <w:color w:val="000000"/>
        </w:rPr>
        <w:t>průkazu</w:t>
      </w:r>
      <w:r w:rsidR="00CE382A">
        <w:rPr>
          <w:rFonts w:eastAsia="SymbolMT"/>
          <w:color w:val="000000"/>
        </w:rPr>
        <w:t>)</w:t>
      </w:r>
      <w:r w:rsidR="004633E3">
        <w:rPr>
          <w:rFonts w:eastAsia="SymbolMT"/>
          <w:color w:val="000000"/>
        </w:rPr>
        <w:t xml:space="preserve">. Rozhodným </w:t>
      </w:r>
      <w:r w:rsidR="00807E44">
        <w:rPr>
          <w:rFonts w:eastAsia="SymbolMT"/>
          <w:color w:val="000000"/>
        </w:rPr>
        <w:t xml:space="preserve">obdobím </w:t>
      </w:r>
      <w:r w:rsidR="004633E3">
        <w:rPr>
          <w:rFonts w:eastAsia="SymbolMT"/>
          <w:color w:val="000000"/>
        </w:rPr>
        <w:t>pro stanovení počtu žádostí je období od 1.</w:t>
      </w:r>
      <w:r w:rsidR="000F74D4">
        <w:rPr>
          <w:rFonts w:eastAsia="SymbolMT"/>
          <w:color w:val="000000"/>
        </w:rPr>
        <w:t xml:space="preserve"> </w:t>
      </w:r>
      <w:r w:rsidR="004633E3">
        <w:rPr>
          <w:rFonts w:eastAsia="SymbolMT"/>
          <w:color w:val="000000"/>
        </w:rPr>
        <w:t>1. do 31.</w:t>
      </w:r>
      <w:r w:rsidR="000F74D4">
        <w:rPr>
          <w:rFonts w:eastAsia="SymbolMT"/>
          <w:color w:val="000000"/>
        </w:rPr>
        <w:t xml:space="preserve"> </w:t>
      </w:r>
      <w:r w:rsidR="004633E3">
        <w:rPr>
          <w:rFonts w:eastAsia="SymbolMT"/>
          <w:color w:val="000000"/>
        </w:rPr>
        <w:t>12.</w:t>
      </w:r>
      <w:r w:rsidR="000F74D4">
        <w:rPr>
          <w:rFonts w:eastAsia="SymbolMT"/>
          <w:color w:val="000000"/>
        </w:rPr>
        <w:t xml:space="preserve"> </w:t>
      </w:r>
      <w:r w:rsidR="004633E3">
        <w:rPr>
          <w:rFonts w:eastAsia="SymbolMT"/>
          <w:color w:val="000000"/>
        </w:rPr>
        <w:t>2018;</w:t>
      </w:r>
    </w:p>
    <w:p w:rsidR="004633E3" w:rsidRDefault="0006392A" w:rsidP="004633E3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eastAsia="SymbolMT"/>
          <w:color w:val="000000"/>
        </w:rPr>
      </w:pPr>
      <w:r>
        <w:rPr>
          <w:rFonts w:eastAsia="SymbolMT"/>
          <w:color w:val="000000"/>
        </w:rPr>
        <w:t>F</w:t>
      </w:r>
      <w:r w:rsidR="00D42F27">
        <w:rPr>
          <w:rFonts w:eastAsia="SymbolMT"/>
          <w:color w:val="000000"/>
        </w:rPr>
        <w:t xml:space="preserve">inancování </w:t>
      </w:r>
      <w:r w:rsidR="00D42F27" w:rsidRPr="00D42F27">
        <w:rPr>
          <w:rFonts w:eastAsia="SymbolMT"/>
          <w:b/>
          <w:color w:val="000000"/>
        </w:rPr>
        <w:t>matričních úřadů</w:t>
      </w:r>
      <w:r w:rsidR="00D42F27">
        <w:rPr>
          <w:rFonts w:eastAsia="SymbolMT"/>
          <w:color w:val="000000"/>
        </w:rPr>
        <w:t xml:space="preserve"> (celkový objem prostředků je rozdělen na část na základě vzorců a</w:t>
      </w:r>
      <w:r w:rsidR="00DD3577">
        <w:rPr>
          <w:rFonts w:eastAsia="SymbolMT"/>
          <w:color w:val="000000"/>
        </w:rPr>
        <w:t> </w:t>
      </w:r>
      <w:r w:rsidR="00D42F27">
        <w:rPr>
          <w:rFonts w:eastAsia="SymbolMT"/>
          <w:color w:val="000000"/>
        </w:rPr>
        <w:t xml:space="preserve">koeficientů zahrnující počet obyvatel ve správním obvodu </w:t>
      </w:r>
      <w:r w:rsidR="006C69D7">
        <w:rPr>
          <w:rFonts w:eastAsia="SymbolMT"/>
          <w:color w:val="000000"/>
        </w:rPr>
        <w:t xml:space="preserve">- </w:t>
      </w:r>
      <w:r w:rsidR="00BD5FF0">
        <w:rPr>
          <w:rFonts w:eastAsia="SymbolMT"/>
          <w:color w:val="000000"/>
        </w:rPr>
        <w:t>viz část 1.a) a 1.B) přílohy č. 8 k zákonu o státním rozpočtu ČR na rok 2020</w:t>
      </w:r>
      <w:r w:rsidR="006C69D7">
        <w:rPr>
          <w:rFonts w:eastAsia="SymbolMT"/>
          <w:color w:val="000000"/>
        </w:rPr>
        <w:t>,</w:t>
      </w:r>
      <w:r w:rsidR="00BD5FF0">
        <w:rPr>
          <w:rFonts w:eastAsia="SymbolMT"/>
          <w:color w:val="000000"/>
        </w:rPr>
        <w:t xml:space="preserve"> </w:t>
      </w:r>
      <w:r w:rsidR="00D42F27">
        <w:rPr>
          <w:rFonts w:eastAsia="SymbolMT"/>
          <w:color w:val="000000"/>
        </w:rPr>
        <w:t>a druhá část na základě počtu sledovaných úkonů – počtu zápisů do matričních knih</w:t>
      </w:r>
      <w:r w:rsidR="006C69D7">
        <w:rPr>
          <w:rFonts w:eastAsia="SymbolMT"/>
          <w:color w:val="000000"/>
        </w:rPr>
        <w:t xml:space="preserve"> v rozhodném období od 1. 1. do 31. 12. 2018</w:t>
      </w:r>
      <w:r w:rsidR="00D42F27">
        <w:rPr>
          <w:rFonts w:eastAsia="SymbolMT"/>
          <w:color w:val="000000"/>
        </w:rPr>
        <w:t>)</w:t>
      </w:r>
      <w:r w:rsidR="004633E3">
        <w:rPr>
          <w:rFonts w:eastAsia="SymbolMT"/>
          <w:color w:val="000000"/>
        </w:rPr>
        <w:t>;</w:t>
      </w:r>
      <w:r w:rsidR="00D42F27">
        <w:rPr>
          <w:rFonts w:eastAsia="SymbolMT"/>
          <w:color w:val="000000"/>
        </w:rPr>
        <w:t xml:space="preserve"> </w:t>
      </w:r>
    </w:p>
    <w:p w:rsidR="003C6D17" w:rsidRPr="003C6D17" w:rsidRDefault="004633E3" w:rsidP="004633E3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eastAsia="SymbolMT"/>
          <w:color w:val="000000"/>
        </w:rPr>
      </w:pPr>
      <w:r>
        <w:rPr>
          <w:rFonts w:eastAsia="SymbolMT"/>
          <w:color w:val="000000"/>
        </w:rPr>
        <w:t>F</w:t>
      </w:r>
      <w:r w:rsidR="00F40E71" w:rsidRPr="00475698">
        <w:t xml:space="preserve">inancování </w:t>
      </w:r>
      <w:r w:rsidR="00F40E71" w:rsidRPr="00D42F27">
        <w:rPr>
          <w:b/>
        </w:rPr>
        <w:t>úřadů územního plánování</w:t>
      </w:r>
      <w:r w:rsidR="001E59FC">
        <w:rPr>
          <w:b/>
        </w:rPr>
        <w:t xml:space="preserve"> </w:t>
      </w:r>
      <w:r w:rsidR="00F40E71" w:rsidRPr="00475698">
        <w:t>(</w:t>
      </w:r>
      <w:r w:rsidR="001E59FC">
        <w:t xml:space="preserve">částka </w:t>
      </w:r>
      <w:r w:rsidR="008D27D7">
        <w:t xml:space="preserve">2 477 Kč </w:t>
      </w:r>
      <w:r w:rsidR="00F40E71" w:rsidRPr="00475698">
        <w:t>za každ</w:t>
      </w:r>
      <w:r w:rsidR="008D27D7">
        <w:t>ý definovaný případ/</w:t>
      </w:r>
      <w:r w:rsidR="001E59FC">
        <w:t>každé závazné stanovisko vydané v období od 1. 1. do 31. 12. 2018 podle § 96 zákona č. 183/2006 Sb., stavební zákon, ve znění zákona č. 225/2017 Sb.</w:t>
      </w:r>
      <w:r w:rsidR="008D27D7">
        <w:t>)</w:t>
      </w:r>
      <w:r w:rsidR="00D42F27">
        <w:t>.</w:t>
      </w:r>
    </w:p>
    <w:p w:rsidR="00520A0F" w:rsidRDefault="0055393C" w:rsidP="002F43BC">
      <w:pPr>
        <w:autoSpaceDE w:val="0"/>
        <w:autoSpaceDN w:val="0"/>
        <w:adjustRightInd w:val="0"/>
        <w:spacing w:before="120" w:after="120"/>
        <w:jc w:val="both"/>
        <w:rPr>
          <w:rFonts w:eastAsia="SymbolMT"/>
        </w:rPr>
      </w:pPr>
      <w:r w:rsidRPr="00BF1FB7">
        <w:rPr>
          <w:rFonts w:eastAsia="SymbolMT"/>
          <w:b/>
        </w:rPr>
        <w:t>Z</w:t>
      </w:r>
      <w:r w:rsidR="00520A0F" w:rsidRPr="00BF1FB7">
        <w:rPr>
          <w:b/>
        </w:rPr>
        <w:t>důrazňujeme,</w:t>
      </w:r>
      <w:r w:rsidR="00520A0F" w:rsidRPr="00267B5B">
        <w:t xml:space="preserve"> že částky pro jednotlivé obce zahrnuté v rámci schváleného finančního vztahu státního rozpočtu k rozpočtům obcí daného kraje</w:t>
      </w:r>
      <w:r w:rsidR="007A6DE4" w:rsidRPr="00267B5B">
        <w:t xml:space="preserve"> </w:t>
      </w:r>
      <w:r w:rsidR="00520A0F" w:rsidRPr="00BF1FB7">
        <w:rPr>
          <w:b/>
        </w:rPr>
        <w:t>jsou částkami definitivními</w:t>
      </w:r>
      <w:r w:rsidR="00C9007F" w:rsidRPr="00267B5B">
        <w:t xml:space="preserve"> a že č</w:t>
      </w:r>
      <w:r w:rsidR="00520A0F" w:rsidRPr="00267B5B">
        <w:t>ást příspěvku definovaná ve vztahu k </w:t>
      </w:r>
      <w:r w:rsidR="00584FDB" w:rsidRPr="00267B5B">
        <w:t xml:space="preserve">agendě veřejného opatrovnictví </w:t>
      </w:r>
      <w:r w:rsidR="00401BE9" w:rsidRPr="00401BE9">
        <w:rPr>
          <w:b/>
        </w:rPr>
        <w:t>(část 1.D)</w:t>
      </w:r>
      <w:r w:rsidR="00401BE9">
        <w:t xml:space="preserve"> </w:t>
      </w:r>
      <w:r w:rsidR="00584FDB" w:rsidRPr="00BF1FB7">
        <w:rPr>
          <w:b/>
        </w:rPr>
        <w:t xml:space="preserve">není </w:t>
      </w:r>
      <w:r w:rsidR="00520A0F" w:rsidRPr="00BF1FB7">
        <w:rPr>
          <w:b/>
        </w:rPr>
        <w:t xml:space="preserve">sledována odděleně </w:t>
      </w:r>
      <w:r w:rsidR="00584FDB" w:rsidRPr="00BF1FB7">
        <w:rPr>
          <w:b/>
        </w:rPr>
        <w:t>a</w:t>
      </w:r>
      <w:r w:rsidR="00DD3577">
        <w:rPr>
          <w:b/>
        </w:rPr>
        <w:t> </w:t>
      </w:r>
      <w:r w:rsidR="00584FDB" w:rsidRPr="00BF1FB7">
        <w:rPr>
          <w:b/>
        </w:rPr>
        <w:t>ne</w:t>
      </w:r>
      <w:r w:rsidR="00520A0F" w:rsidRPr="00BF1FB7">
        <w:rPr>
          <w:b/>
        </w:rPr>
        <w:t>podléh</w:t>
      </w:r>
      <w:r w:rsidR="00584FDB" w:rsidRPr="00BF1FB7">
        <w:rPr>
          <w:b/>
        </w:rPr>
        <w:t>á</w:t>
      </w:r>
      <w:r w:rsidR="00520A0F" w:rsidRPr="00BF1FB7">
        <w:rPr>
          <w:b/>
        </w:rPr>
        <w:t> vypořádání za rok 20</w:t>
      </w:r>
      <w:r w:rsidR="004C1832" w:rsidRPr="00BF1FB7">
        <w:rPr>
          <w:b/>
        </w:rPr>
        <w:t>20</w:t>
      </w:r>
      <w:r w:rsidR="00584FDB" w:rsidRPr="00BF1FB7">
        <w:rPr>
          <w:b/>
        </w:rPr>
        <w:t xml:space="preserve">. </w:t>
      </w:r>
      <w:r w:rsidR="00E3780E" w:rsidRPr="00BF1FB7">
        <w:t>Totéž platí pro agend</w:t>
      </w:r>
      <w:r w:rsidR="00BF1FB7">
        <w:t>y</w:t>
      </w:r>
      <w:r w:rsidR="00E3780E" w:rsidRPr="00267B5B">
        <w:rPr>
          <w:b/>
        </w:rPr>
        <w:t xml:space="preserve"> vydávání občanských průkazů</w:t>
      </w:r>
      <w:r w:rsidR="00401BE9">
        <w:rPr>
          <w:b/>
        </w:rPr>
        <w:t xml:space="preserve"> (část 1.F), </w:t>
      </w:r>
      <w:r w:rsidR="00BF1FB7">
        <w:rPr>
          <w:b/>
        </w:rPr>
        <w:t>vydávání řidičských průkazů (část 1.G)</w:t>
      </w:r>
      <w:r w:rsidR="007E602D" w:rsidRPr="00267B5B">
        <w:rPr>
          <w:b/>
        </w:rPr>
        <w:t xml:space="preserve"> a financování úřadů územního plánování (část 1.</w:t>
      </w:r>
      <w:r w:rsidR="00BF1FB7">
        <w:rPr>
          <w:b/>
        </w:rPr>
        <w:t>I</w:t>
      </w:r>
      <w:r w:rsidR="007E602D" w:rsidRPr="00267B5B">
        <w:rPr>
          <w:b/>
        </w:rPr>
        <w:t>)</w:t>
      </w:r>
      <w:r w:rsidR="00E3780E" w:rsidRPr="00267B5B">
        <w:rPr>
          <w:b/>
        </w:rPr>
        <w:t xml:space="preserve"> </w:t>
      </w:r>
      <w:r w:rsidR="00DB1CAE" w:rsidRPr="00267B5B">
        <w:rPr>
          <w:b/>
        </w:rPr>
        <w:t>p</w:t>
      </w:r>
      <w:r w:rsidR="00E3780E" w:rsidRPr="00267B5B">
        <w:rPr>
          <w:rFonts w:eastAsia="SymbolMT"/>
          <w:b/>
        </w:rPr>
        <w:t xml:space="preserve">řílohy č. 8 </w:t>
      </w:r>
      <w:r w:rsidR="00E3780E" w:rsidRPr="00AE16CD">
        <w:rPr>
          <w:rFonts w:eastAsia="SymbolMT"/>
        </w:rPr>
        <w:t>k zákonu o státním rozpočtu České republiky na rok 20</w:t>
      </w:r>
      <w:r w:rsidR="00136F2A" w:rsidRPr="00AE16CD">
        <w:rPr>
          <w:rFonts w:eastAsia="SymbolMT"/>
        </w:rPr>
        <w:t>20</w:t>
      </w:r>
      <w:r w:rsidR="00E3780E" w:rsidRPr="00AE16CD">
        <w:rPr>
          <w:rFonts w:eastAsia="SymbolMT"/>
        </w:rPr>
        <w:t>.</w:t>
      </w:r>
    </w:p>
    <w:p w:rsidR="00FE6127" w:rsidRPr="00696A78" w:rsidRDefault="00FE6127" w:rsidP="00FE6127">
      <w:pPr>
        <w:autoSpaceDE w:val="0"/>
        <w:autoSpaceDN w:val="0"/>
        <w:adjustRightInd w:val="0"/>
        <w:spacing w:before="240" w:after="120"/>
        <w:jc w:val="both"/>
        <w:rPr>
          <w:rFonts w:eastAsia="SymbolMT"/>
          <w:b/>
          <w:i/>
          <w:color w:val="000000"/>
        </w:rPr>
      </w:pPr>
      <w:r w:rsidRPr="00696A78">
        <w:rPr>
          <w:rFonts w:eastAsia="SymbolMT"/>
          <w:b/>
          <w:i/>
          <w:color w:val="000000"/>
        </w:rPr>
        <w:t>Vlivy zohledněné v  příspěvku na výkon státní správy pro obce:</w:t>
      </w:r>
    </w:p>
    <w:p w:rsidR="00FE6127" w:rsidRPr="00017ECB" w:rsidRDefault="00FE6127" w:rsidP="00FE6127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09" w:hanging="284"/>
        <w:jc w:val="both"/>
        <w:rPr>
          <w:rFonts w:eastAsia="SymbolMT"/>
        </w:rPr>
      </w:pPr>
      <w:r w:rsidRPr="00017ECB">
        <w:rPr>
          <w:rFonts w:eastAsia="SymbolMT"/>
        </w:rPr>
        <w:t>změna počtu obyvatel jednotlivých správních obvodů kategorií obcí dle bilance obyvatel ČR k 1. 1. 2019 vydané Českým statistickým úřadem,</w:t>
      </w:r>
    </w:p>
    <w:p w:rsidR="00FE6127" w:rsidRPr="00017ECB" w:rsidRDefault="00FE6127" w:rsidP="00FE6127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09" w:hanging="284"/>
        <w:jc w:val="both"/>
        <w:rPr>
          <w:rFonts w:eastAsia="SymbolMT"/>
        </w:rPr>
      </w:pPr>
      <w:r w:rsidRPr="00017ECB">
        <w:rPr>
          <w:rFonts w:eastAsia="SymbolMT"/>
        </w:rPr>
        <w:t>navýšení příspěvku o 1 800 000 Kč ve prospěch obcí s rozšířenou působností v souvislosti se změnou zákona č. 113/2018 Sb., kterým se mění zákon č. 254/2001 Sb., o vodách (souhlas vodoprávního úřadu; novelizace sankčních ustanovení a</w:t>
      </w:r>
      <w:r>
        <w:rPr>
          <w:rFonts w:eastAsia="SymbolMT"/>
        </w:rPr>
        <w:t> </w:t>
      </w:r>
      <w:r w:rsidRPr="00017ECB">
        <w:rPr>
          <w:rFonts w:eastAsia="SymbolMT"/>
        </w:rPr>
        <w:t>vodoprávního dozoru),</w:t>
      </w:r>
    </w:p>
    <w:p w:rsidR="00FE6127" w:rsidRPr="00017ECB" w:rsidRDefault="00FE6127" w:rsidP="00FE612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709" w:hanging="357"/>
        <w:contextualSpacing w:val="0"/>
      </w:pPr>
      <w:r w:rsidRPr="00017ECB">
        <w:t>doplnění výkonového financování vydávání řidičských průkazů,</w:t>
      </w:r>
    </w:p>
    <w:p w:rsidR="00FE6127" w:rsidRPr="00017ECB" w:rsidRDefault="00FE6127" w:rsidP="00FE612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709" w:hanging="357"/>
        <w:contextualSpacing w:val="0"/>
      </w:pPr>
      <w:r w:rsidRPr="00017ECB">
        <w:t>úprava způsobu financování matričních úřadů zavedením částečně výkonových plateb,</w:t>
      </w:r>
    </w:p>
    <w:p w:rsidR="00FE6127" w:rsidRPr="00564727" w:rsidRDefault="00FE6127" w:rsidP="00FE612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709" w:hanging="357"/>
        <w:contextualSpacing w:val="0"/>
      </w:pPr>
      <w:r w:rsidRPr="00017ECB">
        <w:rPr>
          <w:b/>
        </w:rPr>
        <w:lastRenderedPageBreak/>
        <w:t xml:space="preserve">celkový objem příspěvku dle jednotlivých působností obcí (základní působnost, stavební úřad, pověřený obecní úřad, obecní úřad s rozšířenou působností) byl pro rok 2020 valorizován o 4,64 %, vyjma matriční působnosti. </w:t>
      </w:r>
    </w:p>
    <w:p w:rsidR="00CA7390" w:rsidRPr="009C61FA" w:rsidRDefault="00CA7390" w:rsidP="00DE5834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360" w:after="240"/>
        <w:ind w:left="425" w:hanging="425"/>
        <w:jc w:val="both"/>
        <w:rPr>
          <w:rFonts w:eastAsia="SymbolMT"/>
          <w:b/>
          <w:bCs/>
          <w:iCs/>
          <w:color w:val="000000"/>
          <w:sz w:val="25"/>
          <w:szCs w:val="25"/>
        </w:rPr>
      </w:pPr>
      <w:r w:rsidRPr="009C61FA">
        <w:rPr>
          <w:rFonts w:eastAsia="SymbolMT"/>
          <w:b/>
          <w:bCs/>
          <w:iCs/>
          <w:color w:val="000000"/>
          <w:sz w:val="25"/>
          <w:szCs w:val="25"/>
        </w:rPr>
        <w:t xml:space="preserve">Příspěvek na výkon státní správy pro hl. m. Prahu </w:t>
      </w:r>
    </w:p>
    <w:p w:rsidR="00CA7390" w:rsidRPr="00696A78" w:rsidRDefault="00CA7390" w:rsidP="00CA7390">
      <w:pPr>
        <w:autoSpaceDE w:val="0"/>
        <w:autoSpaceDN w:val="0"/>
        <w:adjustRightInd w:val="0"/>
        <w:spacing w:before="120" w:after="240"/>
        <w:jc w:val="both"/>
        <w:rPr>
          <w:rFonts w:eastAsia="SymbolMT"/>
          <w:b/>
          <w:i/>
          <w:color w:val="000000"/>
        </w:rPr>
      </w:pPr>
      <w:r w:rsidRPr="00696A78">
        <w:rPr>
          <w:rFonts w:eastAsia="SymbolMT"/>
          <w:b/>
          <w:i/>
          <w:color w:val="000000"/>
        </w:rPr>
        <w:t xml:space="preserve">Obecná charakteristika příspěvku na výkon státní správy pro hl. m. Prahu: </w:t>
      </w:r>
    </w:p>
    <w:p w:rsidR="00CA7390" w:rsidRPr="00CA7390" w:rsidRDefault="00CA7390" w:rsidP="00F117D0">
      <w:pPr>
        <w:autoSpaceDE w:val="0"/>
        <w:autoSpaceDN w:val="0"/>
        <w:adjustRightInd w:val="0"/>
        <w:spacing w:before="120" w:after="120"/>
        <w:jc w:val="both"/>
        <w:rPr>
          <w:rFonts w:eastAsia="SymbolMT"/>
          <w:color w:val="000000"/>
        </w:rPr>
      </w:pPr>
      <w:r w:rsidRPr="00CA7390">
        <w:rPr>
          <w:rFonts w:eastAsia="SymbolMT"/>
          <w:b/>
          <w:bCs/>
          <w:color w:val="000000"/>
        </w:rPr>
        <w:t xml:space="preserve">Postavení hl. m. Prahy </w:t>
      </w:r>
      <w:r w:rsidRPr="00CA7390">
        <w:rPr>
          <w:rFonts w:eastAsia="SymbolMT"/>
          <w:color w:val="000000"/>
        </w:rPr>
        <w:t>při výkonu státní správy je specifické, neboť hl. m. Praha vykonává jak státní správu, která podle zákona přísluší obcím, tak i státní správu, jejíž výkon zajišťují kraje. Na úhradu výkonu státní správy je hl. m. Praze poskytován příspěvek dle § 31 odst. 4 zákona č. 131/2000 Sb., o hlavním městě Praze, ve znění pozdějších předpisů.</w:t>
      </w:r>
    </w:p>
    <w:p w:rsidR="00F117D0" w:rsidRDefault="00F117D0" w:rsidP="00F117D0">
      <w:pPr>
        <w:autoSpaceDE w:val="0"/>
        <w:autoSpaceDN w:val="0"/>
        <w:adjustRightInd w:val="0"/>
        <w:spacing w:before="120" w:after="120"/>
        <w:jc w:val="both"/>
        <w:rPr>
          <w:rFonts w:eastAsia="SymbolMT"/>
          <w:bCs/>
          <w:color w:val="000000"/>
        </w:rPr>
      </w:pPr>
      <w:r>
        <w:rPr>
          <w:rFonts w:eastAsia="SymbolMT"/>
          <w:b/>
          <w:bCs/>
          <w:color w:val="000000"/>
        </w:rPr>
        <w:t>Celkový p</w:t>
      </w:r>
      <w:r w:rsidR="00CA7390" w:rsidRPr="004E6C55">
        <w:rPr>
          <w:rFonts w:eastAsia="SymbolMT"/>
          <w:b/>
          <w:bCs/>
          <w:color w:val="000000"/>
        </w:rPr>
        <w:t>říspěvek na výkon státní správy pro hl. m. Prahu</w:t>
      </w:r>
      <w:r w:rsidR="00CA7390" w:rsidRPr="00CA7390">
        <w:rPr>
          <w:rFonts w:eastAsia="SymbolMT"/>
          <w:bCs/>
          <w:color w:val="000000"/>
        </w:rPr>
        <w:t xml:space="preserve"> je stanoven jako součet příspěvku vypočteného použitím </w:t>
      </w:r>
      <w:r w:rsidR="00CA7390" w:rsidRPr="0014573F">
        <w:rPr>
          <w:rFonts w:eastAsia="SymbolMT"/>
          <w:bCs/>
          <w:color w:val="000000"/>
        </w:rPr>
        <w:t>pevné sazby</w:t>
      </w:r>
      <w:r w:rsidR="00CA7390" w:rsidRPr="00CA7390">
        <w:rPr>
          <w:rFonts w:eastAsia="SymbolMT"/>
          <w:bCs/>
          <w:color w:val="000000"/>
        </w:rPr>
        <w:t xml:space="preserve"> na 100 obyvatel hl. m. Prahy (působnost obce) a příspěvku odvozeného od počtu funkčních míst převedených v průběhu reformy veřejné správy a dále od rozsahu dalších delegovaných agend s</w:t>
      </w:r>
      <w:r w:rsidR="00FB15DC">
        <w:rPr>
          <w:rFonts w:eastAsia="SymbolMT"/>
          <w:bCs/>
          <w:color w:val="000000"/>
        </w:rPr>
        <w:t>tátní správy (působnost kraje).</w:t>
      </w:r>
    </w:p>
    <w:p w:rsidR="00CA7390" w:rsidRDefault="00B34AA6" w:rsidP="00F117D0">
      <w:pPr>
        <w:autoSpaceDE w:val="0"/>
        <w:autoSpaceDN w:val="0"/>
        <w:adjustRightInd w:val="0"/>
        <w:spacing w:before="120" w:after="120"/>
        <w:jc w:val="both"/>
        <w:rPr>
          <w:rFonts w:eastAsia="SymbolMT"/>
          <w:bCs/>
          <w:color w:val="000000"/>
        </w:rPr>
      </w:pPr>
      <w:r>
        <w:rPr>
          <w:rFonts w:eastAsia="SymbolMT"/>
          <w:bCs/>
          <w:color w:val="000000"/>
        </w:rPr>
        <w:t xml:space="preserve">K tomu </w:t>
      </w:r>
      <w:r w:rsidR="00CA7390" w:rsidRPr="00CA7390">
        <w:rPr>
          <w:rFonts w:eastAsia="SymbolMT"/>
          <w:bCs/>
          <w:color w:val="000000"/>
        </w:rPr>
        <w:t xml:space="preserve">se přičítají </w:t>
      </w:r>
      <w:r w:rsidR="00370BC3">
        <w:rPr>
          <w:rFonts w:eastAsia="SymbolMT"/>
          <w:bCs/>
          <w:color w:val="000000"/>
        </w:rPr>
        <w:t xml:space="preserve">prostředky </w:t>
      </w:r>
      <w:r w:rsidR="00CA7390" w:rsidRPr="000F74D4">
        <w:rPr>
          <w:rFonts w:eastAsia="SymbolMT"/>
          <w:b/>
          <w:bCs/>
          <w:color w:val="000000"/>
        </w:rPr>
        <w:t>na zajištění dalších specifických správních činností</w:t>
      </w:r>
      <w:r w:rsidR="00AD6C12">
        <w:rPr>
          <w:rFonts w:eastAsia="SymbolMT"/>
          <w:bCs/>
          <w:color w:val="000000"/>
        </w:rPr>
        <w:t xml:space="preserve">, a to </w:t>
      </w:r>
      <w:r w:rsidR="000833EE">
        <w:rPr>
          <w:rFonts w:eastAsia="SymbolMT"/>
          <w:bCs/>
          <w:color w:val="000000"/>
        </w:rPr>
        <w:t xml:space="preserve">prostředky </w:t>
      </w:r>
      <w:r w:rsidR="00444249">
        <w:rPr>
          <w:rFonts w:eastAsia="SymbolMT"/>
          <w:bCs/>
          <w:color w:val="000000"/>
        </w:rPr>
        <w:t>na vydávání občanských průkazů, vydávání řidičských průkazů, financování matričních úřadů,</w:t>
      </w:r>
      <w:r w:rsidR="00444249" w:rsidRPr="00CA7390">
        <w:rPr>
          <w:rFonts w:eastAsia="SymbolMT"/>
          <w:bCs/>
          <w:color w:val="000000"/>
        </w:rPr>
        <w:t xml:space="preserve"> </w:t>
      </w:r>
      <w:r w:rsidR="00CA7390" w:rsidRPr="00CA7390">
        <w:rPr>
          <w:rFonts w:eastAsia="SymbolMT"/>
          <w:bCs/>
          <w:color w:val="000000"/>
        </w:rPr>
        <w:t xml:space="preserve">na </w:t>
      </w:r>
      <w:r w:rsidR="002F43BC">
        <w:rPr>
          <w:rFonts w:eastAsia="SymbolMT"/>
          <w:bCs/>
          <w:color w:val="000000"/>
        </w:rPr>
        <w:t xml:space="preserve">veřejné opatrovnictví, </w:t>
      </w:r>
      <w:r w:rsidR="00FC49E6">
        <w:rPr>
          <w:rFonts w:eastAsia="SymbolMT"/>
          <w:color w:val="000000"/>
        </w:rPr>
        <w:t xml:space="preserve">na </w:t>
      </w:r>
      <w:r w:rsidR="00CA7390" w:rsidRPr="00CA7390">
        <w:rPr>
          <w:rFonts w:eastAsia="SymbolMT"/>
          <w:color w:val="000000"/>
        </w:rPr>
        <w:t>činnost jednotných kontaktních míst</w:t>
      </w:r>
      <w:r w:rsidR="00444249">
        <w:rPr>
          <w:rFonts w:eastAsia="SymbolMT"/>
          <w:color w:val="000000"/>
        </w:rPr>
        <w:t xml:space="preserve"> a na</w:t>
      </w:r>
      <w:r w:rsidR="00CA617F" w:rsidRPr="00475698">
        <w:rPr>
          <w:rFonts w:eastAsia="SymbolMT"/>
          <w:color w:val="000000"/>
        </w:rPr>
        <w:t xml:space="preserve"> financování úřadů územního plánování</w:t>
      </w:r>
      <w:r w:rsidR="001F1F77">
        <w:rPr>
          <w:rFonts w:eastAsia="SymbolMT"/>
          <w:color w:val="000000"/>
        </w:rPr>
        <w:t xml:space="preserve"> v částech </w:t>
      </w:r>
      <w:r w:rsidR="001F1F77" w:rsidRPr="001F1F77">
        <w:rPr>
          <w:rFonts w:eastAsia="SymbolMT"/>
          <w:b/>
          <w:color w:val="000000"/>
        </w:rPr>
        <w:t>2.B), 2.C), 2.D)</w:t>
      </w:r>
      <w:r w:rsidR="001F1F77">
        <w:rPr>
          <w:rFonts w:eastAsia="SymbolMT"/>
          <w:b/>
          <w:color w:val="000000"/>
        </w:rPr>
        <w:t xml:space="preserve"> a </w:t>
      </w:r>
      <w:r w:rsidR="001F1F77" w:rsidRPr="001F1F77">
        <w:rPr>
          <w:rFonts w:eastAsia="SymbolMT"/>
          <w:b/>
          <w:color w:val="000000"/>
        </w:rPr>
        <w:t>2.</w:t>
      </w:r>
      <w:r w:rsidR="001F1F77">
        <w:rPr>
          <w:rFonts w:eastAsia="SymbolMT"/>
          <w:b/>
          <w:color w:val="000000"/>
        </w:rPr>
        <w:t>E</w:t>
      </w:r>
      <w:r w:rsidR="001F1F77" w:rsidRPr="001F1F77">
        <w:rPr>
          <w:rFonts w:eastAsia="SymbolMT"/>
          <w:b/>
          <w:color w:val="000000"/>
        </w:rPr>
        <w:t>)</w:t>
      </w:r>
      <w:r w:rsidR="001F1F77">
        <w:rPr>
          <w:rFonts w:eastAsia="SymbolMT"/>
          <w:color w:val="000000"/>
        </w:rPr>
        <w:t xml:space="preserve"> </w:t>
      </w:r>
      <w:r w:rsidR="001F1F77" w:rsidRPr="001F1F77">
        <w:rPr>
          <w:rFonts w:eastAsia="SymbolMT"/>
          <w:b/>
          <w:color w:val="000000"/>
        </w:rPr>
        <w:t>přílohy č. 8</w:t>
      </w:r>
      <w:r w:rsidR="001F1F77">
        <w:rPr>
          <w:rFonts w:eastAsia="SymbolMT"/>
          <w:color w:val="000000"/>
        </w:rPr>
        <w:t xml:space="preserve"> k zákonu o státním rozpočtu České republiky na rok 2020</w:t>
      </w:r>
      <w:r w:rsidR="00444249">
        <w:rPr>
          <w:rFonts w:eastAsia="SymbolMT"/>
          <w:bCs/>
          <w:color w:val="000000"/>
        </w:rPr>
        <w:t xml:space="preserve">. </w:t>
      </w:r>
      <w:r w:rsidR="002F43BC">
        <w:rPr>
          <w:rFonts w:eastAsia="SymbolMT"/>
          <w:bCs/>
          <w:color w:val="000000"/>
        </w:rPr>
        <w:t xml:space="preserve">Financování těchto </w:t>
      </w:r>
      <w:r w:rsidR="00444249">
        <w:rPr>
          <w:rFonts w:eastAsia="SymbolMT"/>
          <w:bCs/>
          <w:color w:val="000000"/>
        </w:rPr>
        <w:t xml:space="preserve">správních </w:t>
      </w:r>
      <w:r w:rsidR="002F43BC">
        <w:rPr>
          <w:rFonts w:eastAsia="SymbolMT"/>
          <w:bCs/>
          <w:color w:val="000000"/>
        </w:rPr>
        <w:t xml:space="preserve">činností se </w:t>
      </w:r>
      <w:r w:rsidR="001F1F77">
        <w:rPr>
          <w:rFonts w:eastAsia="SymbolMT"/>
          <w:bCs/>
          <w:color w:val="000000"/>
        </w:rPr>
        <w:t xml:space="preserve">dále </w:t>
      </w:r>
      <w:r w:rsidR="002F43BC">
        <w:rPr>
          <w:rFonts w:eastAsia="SymbolMT"/>
          <w:bCs/>
          <w:color w:val="000000"/>
        </w:rPr>
        <w:t xml:space="preserve">řídí příslušnými ustanoveními obsaženými v částech </w:t>
      </w:r>
      <w:r w:rsidR="00444249" w:rsidRPr="00444249">
        <w:rPr>
          <w:rFonts w:eastAsia="SymbolMT"/>
          <w:b/>
          <w:bCs/>
          <w:color w:val="000000"/>
        </w:rPr>
        <w:t>1.D), 1.E), 1.F)</w:t>
      </w:r>
      <w:r w:rsidR="00CA617F" w:rsidRPr="00444249">
        <w:rPr>
          <w:rFonts w:eastAsia="SymbolMT"/>
          <w:b/>
          <w:bCs/>
          <w:color w:val="000000"/>
        </w:rPr>
        <w:t>,</w:t>
      </w:r>
      <w:r w:rsidR="00CA7390" w:rsidRPr="00444249">
        <w:rPr>
          <w:rFonts w:eastAsia="SymbolMT"/>
          <w:b/>
          <w:bCs/>
          <w:color w:val="000000"/>
        </w:rPr>
        <w:t xml:space="preserve"> </w:t>
      </w:r>
      <w:r w:rsidR="00444249" w:rsidRPr="00444249">
        <w:rPr>
          <w:rFonts w:eastAsia="SymbolMT"/>
          <w:b/>
          <w:bCs/>
          <w:color w:val="000000"/>
        </w:rPr>
        <w:t>1.G</w:t>
      </w:r>
      <w:r w:rsidR="00CA617F" w:rsidRPr="00444249">
        <w:rPr>
          <w:rFonts w:eastAsia="SymbolMT"/>
          <w:b/>
          <w:bCs/>
          <w:color w:val="000000"/>
        </w:rPr>
        <w:t>)</w:t>
      </w:r>
      <w:r w:rsidR="00FA6AC3">
        <w:rPr>
          <w:rFonts w:eastAsia="SymbolMT"/>
          <w:b/>
          <w:bCs/>
          <w:color w:val="000000"/>
        </w:rPr>
        <w:t xml:space="preserve">, 1.H) </w:t>
      </w:r>
      <w:r w:rsidR="00CA617F" w:rsidRPr="00444249">
        <w:rPr>
          <w:rFonts w:eastAsia="SymbolMT"/>
          <w:b/>
          <w:bCs/>
          <w:color w:val="000000"/>
        </w:rPr>
        <w:t xml:space="preserve">a </w:t>
      </w:r>
      <w:r w:rsidR="00444249">
        <w:rPr>
          <w:rFonts w:eastAsia="SymbolMT"/>
          <w:b/>
          <w:bCs/>
          <w:color w:val="000000"/>
        </w:rPr>
        <w:t>1.I</w:t>
      </w:r>
      <w:r w:rsidR="00CA7390" w:rsidRPr="00475698">
        <w:rPr>
          <w:rFonts w:eastAsia="SymbolMT"/>
          <w:bCs/>
          <w:color w:val="000000"/>
        </w:rPr>
        <w:t>)</w:t>
      </w:r>
      <w:r w:rsidR="00CA7390" w:rsidRPr="00CA7390">
        <w:rPr>
          <w:rFonts w:eastAsia="SymbolMT"/>
          <w:bCs/>
          <w:color w:val="000000"/>
        </w:rPr>
        <w:t xml:space="preserve"> </w:t>
      </w:r>
      <w:r w:rsidR="001F1F77">
        <w:rPr>
          <w:rFonts w:eastAsia="SymbolMT"/>
          <w:bCs/>
          <w:color w:val="000000"/>
        </w:rPr>
        <w:t xml:space="preserve">citované </w:t>
      </w:r>
      <w:r w:rsidR="00CA7390" w:rsidRPr="001F1F77">
        <w:rPr>
          <w:rFonts w:eastAsia="SymbolMT"/>
          <w:b/>
          <w:bCs/>
          <w:color w:val="000000"/>
        </w:rPr>
        <w:t>přílohy</w:t>
      </w:r>
      <w:r w:rsidR="001F1F77">
        <w:rPr>
          <w:rFonts w:eastAsia="SymbolMT"/>
          <w:b/>
          <w:bCs/>
          <w:color w:val="000000"/>
        </w:rPr>
        <w:t xml:space="preserve"> č. 8.</w:t>
      </w:r>
    </w:p>
    <w:p w:rsidR="004E6C55" w:rsidRDefault="004E6C55" w:rsidP="00F117D0">
      <w:pPr>
        <w:autoSpaceDE w:val="0"/>
        <w:autoSpaceDN w:val="0"/>
        <w:adjustRightInd w:val="0"/>
        <w:spacing w:before="120" w:after="120"/>
        <w:jc w:val="both"/>
        <w:rPr>
          <w:rFonts w:eastAsia="SymbolMT"/>
        </w:rPr>
      </w:pPr>
      <w:r w:rsidRPr="00444249">
        <w:rPr>
          <w:rFonts w:eastAsia="SymbolMT"/>
          <w:b/>
        </w:rPr>
        <w:t>Postup stanovení příspěvku na výkon státní správy je uveden v příloze č. 8 k zákonu o státním rozpočtu České republiky na rok 20</w:t>
      </w:r>
      <w:r w:rsidR="00444249">
        <w:rPr>
          <w:rFonts w:eastAsia="SymbolMT"/>
          <w:b/>
        </w:rPr>
        <w:t>20</w:t>
      </w:r>
      <w:r w:rsidR="00C32CB1">
        <w:rPr>
          <w:rFonts w:eastAsia="SymbolMT"/>
        </w:rPr>
        <w:t>.</w:t>
      </w:r>
    </w:p>
    <w:p w:rsidR="007E0C9C" w:rsidRPr="00AF22EA" w:rsidRDefault="007E0C9C" w:rsidP="007E0C9C">
      <w:pPr>
        <w:autoSpaceDE w:val="0"/>
        <w:autoSpaceDN w:val="0"/>
        <w:adjustRightInd w:val="0"/>
        <w:spacing w:before="120" w:after="240"/>
        <w:jc w:val="both"/>
      </w:pPr>
      <w:r w:rsidRPr="00AF22EA">
        <w:rPr>
          <w:rFonts w:eastAsia="SymbolMT"/>
          <w:b/>
        </w:rPr>
        <w:t>Z</w:t>
      </w:r>
      <w:r w:rsidRPr="00AF22EA">
        <w:rPr>
          <w:b/>
        </w:rPr>
        <w:t>důrazňujeme</w:t>
      </w:r>
      <w:r w:rsidRPr="00D65A1F">
        <w:t>, že částk</w:t>
      </w:r>
      <w:r w:rsidR="008535E1" w:rsidRPr="00D65A1F">
        <w:t>a</w:t>
      </w:r>
      <w:r w:rsidRPr="00D65A1F">
        <w:t xml:space="preserve"> zahrnut</w:t>
      </w:r>
      <w:r w:rsidR="008535E1" w:rsidRPr="00D65A1F">
        <w:t>á</w:t>
      </w:r>
      <w:r w:rsidRPr="00D65A1F">
        <w:t xml:space="preserve"> v rámci schváleného finančního vztahu státního rozpočtu k</w:t>
      </w:r>
      <w:r w:rsidR="008535E1" w:rsidRPr="00D65A1F">
        <w:t> </w:t>
      </w:r>
      <w:r w:rsidRPr="00D65A1F">
        <w:t>rozpočt</w:t>
      </w:r>
      <w:r w:rsidR="008535E1" w:rsidRPr="00D65A1F">
        <w:t xml:space="preserve">u hl. m. Prahy </w:t>
      </w:r>
      <w:r w:rsidR="000F74D4">
        <w:t xml:space="preserve">(část 2.C)  </w:t>
      </w:r>
      <w:r w:rsidR="000F74D4" w:rsidRPr="00017ECB">
        <w:rPr>
          <w:rFonts w:eastAsia="SymbolMT"/>
          <w:b/>
        </w:rPr>
        <w:t>přílohy č. 8</w:t>
      </w:r>
      <w:r w:rsidR="000F74D4" w:rsidRPr="00444249">
        <w:rPr>
          <w:rFonts w:eastAsia="SymbolMT"/>
        </w:rPr>
        <w:t xml:space="preserve"> k zákonu o státním rozpočtu České republiky na rok 20</w:t>
      </w:r>
      <w:r w:rsidR="000F74D4">
        <w:rPr>
          <w:rFonts w:eastAsia="SymbolMT"/>
        </w:rPr>
        <w:t>20</w:t>
      </w:r>
      <w:r w:rsidRPr="00D65A1F">
        <w:t>j</w:t>
      </w:r>
      <w:r w:rsidR="008535E1" w:rsidRPr="00D65A1F">
        <w:t>e</w:t>
      </w:r>
      <w:r w:rsidRPr="00D65A1F">
        <w:t xml:space="preserve"> částk</w:t>
      </w:r>
      <w:r w:rsidR="008535E1" w:rsidRPr="00D65A1F">
        <w:t>ou</w:t>
      </w:r>
      <w:r w:rsidRPr="00D65A1F">
        <w:t xml:space="preserve"> definitivní a že část příspěvku definovaná ve vztahu k agendě veřejného opatrovnictví </w:t>
      </w:r>
      <w:r w:rsidRPr="00017ECB">
        <w:rPr>
          <w:b/>
        </w:rPr>
        <w:t>není sledována odděleně a nepodléhá vypořádání za rok 20</w:t>
      </w:r>
      <w:r w:rsidR="00AF22EA" w:rsidRPr="00017ECB">
        <w:rPr>
          <w:b/>
        </w:rPr>
        <w:t>20</w:t>
      </w:r>
      <w:r w:rsidRPr="00D65A1F">
        <w:t xml:space="preserve">. </w:t>
      </w:r>
      <w:r w:rsidRPr="00AF22EA">
        <w:t>Totéž platí</w:t>
      </w:r>
      <w:r w:rsidRPr="00D65A1F">
        <w:rPr>
          <w:b/>
        </w:rPr>
        <w:t xml:space="preserve"> pro agendu vydávání občanských průkazů (</w:t>
      </w:r>
      <w:r w:rsidR="008535E1" w:rsidRPr="00D65A1F">
        <w:rPr>
          <w:b/>
        </w:rPr>
        <w:t xml:space="preserve">část </w:t>
      </w:r>
      <w:r w:rsidRPr="00D65A1F">
        <w:rPr>
          <w:b/>
        </w:rPr>
        <w:t>2.B1)</w:t>
      </w:r>
      <w:r w:rsidR="00017ECB">
        <w:rPr>
          <w:b/>
        </w:rPr>
        <w:t>, vydávání řidičských průkazů (část 2.B2)</w:t>
      </w:r>
      <w:r w:rsidRPr="00D65A1F">
        <w:rPr>
          <w:b/>
        </w:rPr>
        <w:t xml:space="preserve"> a agendu financování úřadů územního plánování (část 2.E) p</w:t>
      </w:r>
      <w:r w:rsidRPr="00D65A1F">
        <w:rPr>
          <w:rFonts w:eastAsia="SymbolMT"/>
          <w:b/>
        </w:rPr>
        <w:t xml:space="preserve">řílohy č. 8 </w:t>
      </w:r>
      <w:r w:rsidRPr="00AF22EA">
        <w:rPr>
          <w:rFonts w:eastAsia="SymbolMT"/>
        </w:rPr>
        <w:t>k zákonu o státním rozpočtu České republiky na rok 20</w:t>
      </w:r>
      <w:r w:rsidR="00AF22EA">
        <w:rPr>
          <w:rFonts w:eastAsia="SymbolMT"/>
        </w:rPr>
        <w:t>20</w:t>
      </w:r>
      <w:r w:rsidRPr="00AF22EA">
        <w:rPr>
          <w:rFonts w:eastAsia="SymbolMT"/>
        </w:rPr>
        <w:t>).</w:t>
      </w:r>
    </w:p>
    <w:p w:rsidR="00CA7390" w:rsidRPr="00696A78" w:rsidRDefault="00CA7390" w:rsidP="00CA7390">
      <w:pPr>
        <w:autoSpaceDE w:val="0"/>
        <w:autoSpaceDN w:val="0"/>
        <w:adjustRightInd w:val="0"/>
        <w:spacing w:before="120" w:after="240"/>
        <w:jc w:val="both"/>
        <w:rPr>
          <w:rFonts w:eastAsia="SymbolMT"/>
          <w:b/>
          <w:i/>
          <w:color w:val="000000"/>
        </w:rPr>
      </w:pPr>
      <w:r w:rsidRPr="00696A78">
        <w:rPr>
          <w:rFonts w:eastAsia="SymbolMT"/>
          <w:b/>
          <w:i/>
          <w:color w:val="000000"/>
        </w:rPr>
        <w:t>Vlivy zohledněné v  příspěvku na výkon státní správy pro hl. m. Prahu:</w:t>
      </w:r>
    </w:p>
    <w:p w:rsidR="00CA7390" w:rsidRPr="00CA7390" w:rsidRDefault="006A60CE" w:rsidP="00EB7B81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eastAsia="SymbolMT"/>
          <w:color w:val="000000"/>
        </w:rPr>
      </w:pPr>
      <w:r>
        <w:rPr>
          <w:rFonts w:eastAsia="SymbolMT"/>
          <w:color w:val="000000"/>
        </w:rPr>
        <w:t>změna</w:t>
      </w:r>
      <w:r w:rsidR="00CA7390" w:rsidRPr="00CA7390">
        <w:rPr>
          <w:rFonts w:eastAsia="SymbolMT"/>
          <w:color w:val="000000"/>
        </w:rPr>
        <w:t xml:space="preserve"> počtu obyvatel dle bilance obyvatel ČR k 1. 1. 201</w:t>
      </w:r>
      <w:r w:rsidR="00C8785D">
        <w:rPr>
          <w:rFonts w:eastAsia="SymbolMT"/>
          <w:color w:val="000000"/>
        </w:rPr>
        <w:t>9</w:t>
      </w:r>
      <w:r w:rsidR="00561C97">
        <w:rPr>
          <w:rFonts w:eastAsia="SymbolMT"/>
          <w:color w:val="000000"/>
        </w:rPr>
        <w:t xml:space="preserve"> vydané Českým statistickým úřadem</w:t>
      </w:r>
      <w:r w:rsidR="00CA7390" w:rsidRPr="00CA7390">
        <w:rPr>
          <w:rFonts w:eastAsia="SymbolMT"/>
          <w:color w:val="000000"/>
        </w:rPr>
        <w:t xml:space="preserve">, </w:t>
      </w:r>
    </w:p>
    <w:p w:rsidR="009C093D" w:rsidRDefault="00CA7390" w:rsidP="00EB7B81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eastAsia="SymbolMT"/>
          <w:color w:val="000000"/>
        </w:rPr>
      </w:pPr>
      <w:r w:rsidRPr="008237B2">
        <w:rPr>
          <w:rFonts w:eastAsia="SymbolMT"/>
          <w:b/>
          <w:color w:val="000000"/>
        </w:rPr>
        <w:t xml:space="preserve">valorizace příspěvku </w:t>
      </w:r>
      <w:r w:rsidRPr="009C093D">
        <w:rPr>
          <w:rFonts w:eastAsia="SymbolMT"/>
          <w:color w:val="000000"/>
        </w:rPr>
        <w:t xml:space="preserve">na přenesenou </w:t>
      </w:r>
      <w:r w:rsidRPr="008237B2">
        <w:rPr>
          <w:rFonts w:eastAsia="SymbolMT"/>
          <w:b/>
          <w:color w:val="000000"/>
        </w:rPr>
        <w:t xml:space="preserve">působnost </w:t>
      </w:r>
      <w:r w:rsidR="00167D83" w:rsidRPr="00167D83">
        <w:rPr>
          <w:rFonts w:eastAsia="SymbolMT"/>
          <w:color w:val="000000"/>
        </w:rPr>
        <w:t>hl. m. Praze</w:t>
      </w:r>
      <w:r w:rsidR="00167D83">
        <w:rPr>
          <w:rFonts w:eastAsia="SymbolMT"/>
          <w:b/>
          <w:color w:val="000000"/>
        </w:rPr>
        <w:t xml:space="preserve"> </w:t>
      </w:r>
      <w:r w:rsidR="009C093D">
        <w:rPr>
          <w:rFonts w:eastAsia="SymbolMT"/>
          <w:b/>
          <w:color w:val="000000"/>
        </w:rPr>
        <w:t>jako obci o 4,64</w:t>
      </w:r>
      <w:r w:rsidRPr="008237B2">
        <w:rPr>
          <w:rFonts w:eastAsia="SymbolMT"/>
          <w:b/>
          <w:color w:val="000000"/>
        </w:rPr>
        <w:t xml:space="preserve"> %,</w:t>
      </w:r>
      <w:r w:rsidRPr="00CA7390">
        <w:rPr>
          <w:rFonts w:eastAsia="SymbolMT"/>
          <w:color w:val="000000"/>
        </w:rPr>
        <w:t xml:space="preserve"> </w:t>
      </w:r>
      <w:r w:rsidRPr="009C093D">
        <w:rPr>
          <w:rFonts w:eastAsia="SymbolMT"/>
          <w:b/>
          <w:color w:val="000000"/>
        </w:rPr>
        <w:t>pevná sazba</w:t>
      </w:r>
      <w:r w:rsidRPr="00CA7390">
        <w:rPr>
          <w:rFonts w:eastAsia="SymbolMT"/>
          <w:color w:val="000000"/>
        </w:rPr>
        <w:t xml:space="preserve"> pro rok 20</w:t>
      </w:r>
      <w:r w:rsidR="009C093D">
        <w:rPr>
          <w:rFonts w:eastAsia="SymbolMT"/>
          <w:color w:val="000000"/>
        </w:rPr>
        <w:t>20</w:t>
      </w:r>
      <w:r w:rsidRPr="00CA7390">
        <w:rPr>
          <w:rFonts w:eastAsia="SymbolMT"/>
          <w:color w:val="000000"/>
        </w:rPr>
        <w:t xml:space="preserve"> je navýšena </w:t>
      </w:r>
      <w:r w:rsidRPr="008237B2">
        <w:rPr>
          <w:rFonts w:eastAsia="SymbolMT"/>
          <w:b/>
          <w:color w:val="000000"/>
        </w:rPr>
        <w:t xml:space="preserve">na </w:t>
      </w:r>
      <w:r w:rsidR="00356C10">
        <w:rPr>
          <w:rFonts w:eastAsia="SymbolMT"/>
          <w:b/>
          <w:color w:val="000000"/>
        </w:rPr>
        <w:t xml:space="preserve">částku </w:t>
      </w:r>
      <w:r w:rsidR="008237B2" w:rsidRPr="008237B2">
        <w:rPr>
          <w:rFonts w:eastAsia="SymbolMT"/>
          <w:b/>
          <w:color w:val="000000"/>
        </w:rPr>
        <w:t>7</w:t>
      </w:r>
      <w:r w:rsidR="009C093D">
        <w:rPr>
          <w:rFonts w:eastAsia="SymbolMT"/>
          <w:b/>
          <w:color w:val="000000"/>
        </w:rPr>
        <w:t>8</w:t>
      </w:r>
      <w:r w:rsidR="008237B2" w:rsidRPr="008237B2">
        <w:rPr>
          <w:rFonts w:eastAsia="SymbolMT"/>
          <w:b/>
          <w:color w:val="000000"/>
        </w:rPr>
        <w:t xml:space="preserve"> </w:t>
      </w:r>
      <w:r w:rsidR="009C093D">
        <w:rPr>
          <w:rFonts w:eastAsia="SymbolMT"/>
          <w:b/>
          <w:color w:val="000000"/>
        </w:rPr>
        <w:t>267</w:t>
      </w:r>
      <w:r w:rsidRPr="008237B2">
        <w:rPr>
          <w:rFonts w:eastAsia="SymbolMT"/>
          <w:b/>
          <w:color w:val="000000"/>
        </w:rPr>
        <w:t> Kč</w:t>
      </w:r>
      <w:r w:rsidRPr="00CA7390">
        <w:rPr>
          <w:rFonts w:eastAsia="SymbolMT"/>
          <w:color w:val="000000"/>
        </w:rPr>
        <w:t xml:space="preserve"> na 100 obyvatel</w:t>
      </w:r>
      <w:r w:rsidR="009C093D">
        <w:rPr>
          <w:rFonts w:eastAsia="SymbolMT"/>
          <w:color w:val="000000"/>
        </w:rPr>
        <w:t xml:space="preserve">, </w:t>
      </w:r>
    </w:p>
    <w:p w:rsidR="00CA7390" w:rsidRPr="009C093D" w:rsidRDefault="00356C10" w:rsidP="00EB7B81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eastAsia="SymbolMT"/>
          <w:b/>
          <w:i/>
          <w:color w:val="000000"/>
        </w:rPr>
      </w:pPr>
      <w:r>
        <w:rPr>
          <w:rFonts w:eastAsia="SymbolMT"/>
          <w:b/>
          <w:color w:val="000000"/>
        </w:rPr>
        <w:t xml:space="preserve">meziroční </w:t>
      </w:r>
      <w:r w:rsidR="009C093D">
        <w:rPr>
          <w:rFonts w:eastAsia="SymbolMT"/>
          <w:b/>
          <w:color w:val="000000"/>
        </w:rPr>
        <w:t xml:space="preserve">valorizace příspěvku </w:t>
      </w:r>
      <w:r w:rsidR="009C093D" w:rsidRPr="009C093D">
        <w:rPr>
          <w:rFonts w:eastAsia="SymbolMT"/>
          <w:color w:val="000000"/>
        </w:rPr>
        <w:t>na přenesenou</w:t>
      </w:r>
      <w:r w:rsidR="009C093D">
        <w:rPr>
          <w:rFonts w:eastAsia="SymbolMT"/>
          <w:b/>
          <w:color w:val="000000"/>
        </w:rPr>
        <w:t xml:space="preserve"> působnost</w:t>
      </w:r>
      <w:r w:rsidR="00167D83">
        <w:rPr>
          <w:rFonts w:eastAsia="SymbolMT"/>
          <w:b/>
          <w:color w:val="000000"/>
        </w:rPr>
        <w:t xml:space="preserve"> </w:t>
      </w:r>
      <w:r w:rsidR="00167D83" w:rsidRPr="00167D83">
        <w:rPr>
          <w:rFonts w:eastAsia="SymbolMT"/>
          <w:color w:val="000000"/>
        </w:rPr>
        <w:t>hl. m. Praze</w:t>
      </w:r>
      <w:r w:rsidR="00167D83">
        <w:rPr>
          <w:rFonts w:eastAsia="SymbolMT"/>
          <w:b/>
          <w:color w:val="000000"/>
        </w:rPr>
        <w:t xml:space="preserve"> </w:t>
      </w:r>
      <w:r w:rsidR="009C093D">
        <w:rPr>
          <w:rFonts w:eastAsia="SymbolMT"/>
          <w:b/>
          <w:color w:val="000000"/>
        </w:rPr>
        <w:t xml:space="preserve">jako kraje </w:t>
      </w:r>
      <w:r w:rsidR="009C093D" w:rsidRPr="009C093D">
        <w:rPr>
          <w:rFonts w:eastAsia="SymbolMT"/>
          <w:color w:val="000000"/>
        </w:rPr>
        <w:t xml:space="preserve">je </w:t>
      </w:r>
      <w:r>
        <w:rPr>
          <w:rFonts w:eastAsia="SymbolMT"/>
          <w:color w:val="000000"/>
        </w:rPr>
        <w:t xml:space="preserve">ve výši </w:t>
      </w:r>
      <w:r w:rsidR="009C093D" w:rsidRPr="009C093D">
        <w:rPr>
          <w:rFonts w:eastAsia="SymbolMT"/>
          <w:b/>
          <w:color w:val="000000"/>
        </w:rPr>
        <w:t>12,97 %</w:t>
      </w:r>
      <w:r w:rsidR="009C093D">
        <w:rPr>
          <w:rFonts w:eastAsia="SymbolMT"/>
          <w:b/>
          <w:color w:val="000000"/>
        </w:rPr>
        <w:t xml:space="preserve"> </w:t>
      </w:r>
      <w:r w:rsidR="009C093D" w:rsidRPr="009C093D">
        <w:rPr>
          <w:rFonts w:eastAsia="SymbolMT"/>
          <w:color w:val="000000"/>
        </w:rPr>
        <w:t>(</w:t>
      </w:r>
      <w:r w:rsidR="009C093D">
        <w:rPr>
          <w:rFonts w:eastAsia="SymbolMT"/>
          <w:color w:val="000000"/>
        </w:rPr>
        <w:t>shodná s průměrnou valorizací krajů pro rok 2020).</w:t>
      </w:r>
      <w:r w:rsidR="00CA7390" w:rsidRPr="009C093D">
        <w:rPr>
          <w:rFonts w:eastAsia="SymbolMT"/>
          <w:b/>
          <w:i/>
          <w:color w:val="000000"/>
        </w:rPr>
        <w:t xml:space="preserve"> </w:t>
      </w:r>
    </w:p>
    <w:p w:rsidR="00CA7390" w:rsidRPr="000118D5" w:rsidRDefault="00397248" w:rsidP="00EB7B81">
      <w:pPr>
        <w:autoSpaceDE w:val="0"/>
        <w:autoSpaceDN w:val="0"/>
        <w:adjustRightInd w:val="0"/>
        <w:spacing w:before="240" w:after="240"/>
        <w:jc w:val="both"/>
        <w:rPr>
          <w:rFonts w:eastAsia="SymbolMT"/>
          <w:i/>
          <w:color w:val="000000"/>
        </w:rPr>
      </w:pPr>
      <w:r w:rsidRPr="000118D5">
        <w:rPr>
          <w:rFonts w:eastAsia="SymbolMT"/>
          <w:b/>
          <w:i/>
          <w:color w:val="000000"/>
        </w:rPr>
        <w:t>F</w:t>
      </w:r>
      <w:r w:rsidR="00CA7390" w:rsidRPr="000118D5">
        <w:rPr>
          <w:rFonts w:eastAsia="SymbolMT"/>
          <w:b/>
          <w:i/>
          <w:color w:val="000000"/>
        </w:rPr>
        <w:t>inancování specifických činností:</w:t>
      </w:r>
    </w:p>
    <w:p w:rsidR="00CA7390" w:rsidRPr="00CA7390" w:rsidRDefault="00CA7390" w:rsidP="00F40595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eastAsia="SymbolMT"/>
          <w:b/>
          <w:color w:val="000000"/>
        </w:rPr>
      </w:pPr>
      <w:r w:rsidRPr="00CA7390">
        <w:rPr>
          <w:rFonts w:eastAsia="SymbolMT"/>
          <w:b/>
          <w:color w:val="000000"/>
        </w:rPr>
        <w:t>Financování veřejného opatrovnictví</w:t>
      </w:r>
    </w:p>
    <w:p w:rsidR="00CA7390" w:rsidRDefault="00CA7390" w:rsidP="00F40595">
      <w:pPr>
        <w:autoSpaceDE w:val="0"/>
        <w:autoSpaceDN w:val="0"/>
        <w:adjustRightInd w:val="0"/>
        <w:spacing w:before="120" w:after="120"/>
        <w:ind w:left="426"/>
        <w:jc w:val="both"/>
        <w:rPr>
          <w:rFonts w:eastAsia="SymbolMT"/>
          <w:color w:val="000000"/>
        </w:rPr>
      </w:pPr>
      <w:r w:rsidRPr="00CA7390">
        <w:rPr>
          <w:rFonts w:eastAsia="SymbolMT"/>
          <w:b/>
          <w:color w:val="000000"/>
        </w:rPr>
        <w:t xml:space="preserve">V celkové </w:t>
      </w:r>
      <w:r w:rsidR="00584FDB">
        <w:rPr>
          <w:rFonts w:eastAsia="SymbolMT"/>
          <w:b/>
          <w:color w:val="000000"/>
        </w:rPr>
        <w:t>výši</w:t>
      </w:r>
      <w:r w:rsidRPr="00CA7390">
        <w:rPr>
          <w:rFonts w:eastAsia="SymbolMT"/>
          <w:b/>
          <w:color w:val="000000"/>
        </w:rPr>
        <w:t xml:space="preserve"> </w:t>
      </w:r>
      <w:r w:rsidRPr="00CA7390">
        <w:rPr>
          <w:rFonts w:eastAsia="SymbolMT"/>
          <w:color w:val="000000"/>
        </w:rPr>
        <w:t xml:space="preserve">příspěvku na výkon státní správy pro hl. m. Prahu </w:t>
      </w:r>
      <w:r w:rsidRPr="00CA7390">
        <w:rPr>
          <w:rFonts w:eastAsia="SymbolMT"/>
          <w:b/>
          <w:color w:val="000000"/>
        </w:rPr>
        <w:t>je zohledněn výkon veřejného opatrovnictví</w:t>
      </w:r>
      <w:r w:rsidRPr="00CA7390">
        <w:rPr>
          <w:rFonts w:eastAsia="SymbolMT"/>
          <w:color w:val="000000"/>
        </w:rPr>
        <w:t xml:space="preserve"> v působnosti obce v závislosti na počtu opatrovanců (viz výše). Konkrétně se jedná o částku </w:t>
      </w:r>
      <w:r w:rsidR="00B31996">
        <w:rPr>
          <w:rFonts w:eastAsia="SymbolMT"/>
          <w:b/>
          <w:color w:val="000000"/>
        </w:rPr>
        <w:t>24 679 000</w:t>
      </w:r>
      <w:r w:rsidRPr="008237B2">
        <w:rPr>
          <w:rFonts w:eastAsia="SymbolMT"/>
          <w:b/>
          <w:color w:val="000000"/>
        </w:rPr>
        <w:t xml:space="preserve"> Kč</w:t>
      </w:r>
      <w:r w:rsidRPr="00CA7390">
        <w:rPr>
          <w:rFonts w:eastAsia="SymbolMT"/>
          <w:color w:val="000000"/>
        </w:rPr>
        <w:t xml:space="preserve">, </w:t>
      </w:r>
      <w:r w:rsidRPr="00F47ED3">
        <w:rPr>
          <w:rFonts w:eastAsia="SymbolMT"/>
        </w:rPr>
        <w:t>indikativní přerozdělení</w:t>
      </w:r>
      <w:r w:rsidRPr="00CA7390">
        <w:rPr>
          <w:rFonts w:eastAsia="SymbolMT"/>
          <w:color w:val="000000"/>
        </w:rPr>
        <w:t xml:space="preserve"> dle jednotlivých </w:t>
      </w:r>
      <w:r w:rsidRPr="00CA7390">
        <w:rPr>
          <w:rFonts w:eastAsia="SymbolMT"/>
          <w:color w:val="000000"/>
        </w:rPr>
        <w:lastRenderedPageBreak/>
        <w:t xml:space="preserve">městských částí je uvedeno v příloze č. </w:t>
      </w:r>
      <w:r w:rsidR="00B31996">
        <w:rPr>
          <w:rFonts w:eastAsia="SymbolMT"/>
          <w:color w:val="000000"/>
        </w:rPr>
        <w:t>7</w:t>
      </w:r>
      <w:r w:rsidRPr="00CA7390">
        <w:rPr>
          <w:rFonts w:eastAsia="SymbolMT"/>
          <w:color w:val="000000"/>
        </w:rPr>
        <w:t xml:space="preserve"> tabulkové části dokumentace</w:t>
      </w:r>
      <w:r w:rsidR="006A60CE">
        <w:rPr>
          <w:rFonts w:eastAsia="SymbolMT"/>
          <w:color w:val="000000"/>
        </w:rPr>
        <w:t xml:space="preserve"> k zákonu o</w:t>
      </w:r>
      <w:r w:rsidR="00695917">
        <w:rPr>
          <w:rFonts w:eastAsia="SymbolMT"/>
          <w:color w:val="000000"/>
        </w:rPr>
        <w:t> </w:t>
      </w:r>
      <w:r w:rsidR="006A60CE">
        <w:rPr>
          <w:rFonts w:eastAsia="SymbolMT"/>
          <w:color w:val="000000"/>
        </w:rPr>
        <w:t>státním rozpočtu České republiky na rok 20</w:t>
      </w:r>
      <w:r w:rsidR="00B31996">
        <w:rPr>
          <w:rFonts w:eastAsia="SymbolMT"/>
          <w:color w:val="000000"/>
        </w:rPr>
        <w:t>20</w:t>
      </w:r>
      <w:r w:rsidR="00234B21">
        <w:rPr>
          <w:rFonts w:eastAsia="SymbolMT"/>
          <w:color w:val="000000"/>
        </w:rPr>
        <w:t xml:space="preserve"> (sešit G)</w:t>
      </w:r>
      <w:r w:rsidRPr="00CA7390">
        <w:rPr>
          <w:rFonts w:eastAsia="SymbolMT"/>
          <w:color w:val="000000"/>
        </w:rPr>
        <w:t xml:space="preserve">. </w:t>
      </w:r>
    </w:p>
    <w:p w:rsidR="00CA7390" w:rsidRPr="00CA7390" w:rsidRDefault="00BC40DA" w:rsidP="00F40595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eastAsia="SymbolMT"/>
          <w:b/>
          <w:color w:val="000000"/>
        </w:rPr>
      </w:pPr>
      <w:r>
        <w:rPr>
          <w:rFonts w:eastAsia="SymbolMT"/>
          <w:b/>
          <w:color w:val="000000"/>
        </w:rPr>
        <w:t>Financování</w:t>
      </w:r>
      <w:r w:rsidR="00CA7390" w:rsidRPr="00CA7390">
        <w:rPr>
          <w:rFonts w:eastAsia="SymbolMT"/>
          <w:b/>
          <w:color w:val="000000"/>
        </w:rPr>
        <w:t xml:space="preserve"> jednotných kontaktních míst </w:t>
      </w:r>
    </w:p>
    <w:p w:rsidR="00CA7390" w:rsidRPr="00CA7390" w:rsidRDefault="00CA7390" w:rsidP="00F40595">
      <w:pPr>
        <w:autoSpaceDE w:val="0"/>
        <w:autoSpaceDN w:val="0"/>
        <w:adjustRightInd w:val="0"/>
        <w:spacing w:before="120" w:after="120"/>
        <w:ind w:left="426"/>
        <w:jc w:val="both"/>
        <w:rPr>
          <w:rFonts w:eastAsia="SymbolMT"/>
          <w:color w:val="000000"/>
        </w:rPr>
      </w:pPr>
      <w:r w:rsidRPr="00CA7390">
        <w:rPr>
          <w:rFonts w:eastAsia="SymbolMT"/>
          <w:b/>
          <w:color w:val="000000"/>
        </w:rPr>
        <w:t xml:space="preserve">V celkové </w:t>
      </w:r>
      <w:r w:rsidR="00584FDB">
        <w:rPr>
          <w:rFonts w:eastAsia="SymbolMT"/>
          <w:b/>
          <w:color w:val="000000"/>
        </w:rPr>
        <w:t>výši</w:t>
      </w:r>
      <w:r w:rsidRPr="00CA7390">
        <w:rPr>
          <w:rFonts w:eastAsia="SymbolMT"/>
          <w:b/>
          <w:color w:val="000000"/>
        </w:rPr>
        <w:t xml:space="preserve"> </w:t>
      </w:r>
      <w:r w:rsidRPr="00CA7390">
        <w:rPr>
          <w:rFonts w:eastAsia="SymbolMT"/>
          <w:color w:val="000000"/>
        </w:rPr>
        <w:t xml:space="preserve">příspěvku na výkon státní správy pro hl. m. Prahu je dále </w:t>
      </w:r>
      <w:r w:rsidRPr="00CA7390">
        <w:rPr>
          <w:rFonts w:eastAsia="SymbolMT"/>
          <w:b/>
          <w:color w:val="000000"/>
        </w:rPr>
        <w:t>zohledněno financování jednotných kontaktních míst</w:t>
      </w:r>
      <w:r w:rsidRPr="00CA7390">
        <w:rPr>
          <w:rFonts w:eastAsia="SymbolMT"/>
          <w:color w:val="000000"/>
        </w:rPr>
        <w:t xml:space="preserve"> v působnosti městských částí hlavního města Prahy v závislosti na počtu zaevidovaných a následně řešených dotazů klientů</w:t>
      </w:r>
      <w:r w:rsidR="00155DB4">
        <w:rPr>
          <w:rFonts w:eastAsia="SymbolMT"/>
          <w:color w:val="000000"/>
        </w:rPr>
        <w:t>.</w:t>
      </w:r>
      <w:r w:rsidRPr="00CA7390">
        <w:rPr>
          <w:rFonts w:eastAsia="SymbolMT"/>
          <w:color w:val="000000"/>
        </w:rPr>
        <w:t xml:space="preserve"> Konkrétně se jedná o částku </w:t>
      </w:r>
      <w:r w:rsidR="00B31996">
        <w:rPr>
          <w:rFonts w:eastAsia="SymbolMT"/>
          <w:b/>
          <w:color w:val="000000"/>
        </w:rPr>
        <w:t>2 140 000</w:t>
      </w:r>
      <w:r w:rsidRPr="00390476">
        <w:rPr>
          <w:rFonts w:eastAsia="SymbolMT"/>
          <w:b/>
          <w:color w:val="000000"/>
        </w:rPr>
        <w:t xml:space="preserve"> Kč</w:t>
      </w:r>
      <w:r w:rsidRPr="00CA7390">
        <w:rPr>
          <w:rFonts w:eastAsia="SymbolMT"/>
          <w:color w:val="000000"/>
        </w:rPr>
        <w:t xml:space="preserve"> podle níže uvedeného: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544"/>
        <w:gridCol w:w="2126"/>
      </w:tblGrid>
      <w:tr w:rsidR="00CA7390" w:rsidRPr="00CA7390" w:rsidTr="00CE2342">
        <w:trPr>
          <w:trHeight w:val="761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7390" w:rsidRPr="00CE2342" w:rsidRDefault="00CA7390" w:rsidP="00CE2342">
            <w:pPr>
              <w:autoSpaceDE w:val="0"/>
              <w:autoSpaceDN w:val="0"/>
              <w:adjustRightInd w:val="0"/>
              <w:jc w:val="both"/>
              <w:rPr>
                <w:rFonts w:eastAsia="SymbolMT"/>
                <w:bCs/>
                <w:color w:val="000000"/>
                <w:sz w:val="22"/>
                <w:szCs w:val="22"/>
              </w:rPr>
            </w:pPr>
            <w:r w:rsidRPr="00CE2342">
              <w:rPr>
                <w:rFonts w:eastAsia="SymbolMT"/>
                <w:color w:val="000000"/>
                <w:sz w:val="22"/>
                <w:szCs w:val="22"/>
              </w:rPr>
              <w:t>Jednotné kontaktní místo v rámci Úřadu městské části hlavního města Prahy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A7390" w:rsidRPr="00CE2342" w:rsidRDefault="00CA7390" w:rsidP="00B31996">
            <w:pPr>
              <w:autoSpaceDE w:val="0"/>
              <w:autoSpaceDN w:val="0"/>
              <w:adjustRightInd w:val="0"/>
              <w:jc w:val="both"/>
              <w:rPr>
                <w:rFonts w:eastAsia="SymbolMT"/>
                <w:bCs/>
                <w:color w:val="000000"/>
                <w:sz w:val="22"/>
                <w:szCs w:val="22"/>
              </w:rPr>
            </w:pPr>
            <w:r w:rsidRPr="00CE2342">
              <w:rPr>
                <w:rFonts w:eastAsia="SymbolMT"/>
                <w:bCs/>
                <w:color w:val="000000"/>
                <w:sz w:val="22"/>
                <w:szCs w:val="22"/>
              </w:rPr>
              <w:t>Počet zaevidovaných a následně řešených dotazů klientů v období od 1. 1. do 31. 12. 201</w:t>
            </w:r>
            <w:r w:rsidR="00B31996">
              <w:rPr>
                <w:rFonts w:eastAsia="SymbolMT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390" w:rsidRPr="00CE2342" w:rsidRDefault="00CA7390" w:rsidP="00CE2342">
            <w:pPr>
              <w:autoSpaceDE w:val="0"/>
              <w:autoSpaceDN w:val="0"/>
              <w:adjustRightInd w:val="0"/>
              <w:jc w:val="center"/>
              <w:rPr>
                <w:rFonts w:eastAsia="SymbolMT"/>
                <w:bCs/>
                <w:color w:val="000000"/>
                <w:sz w:val="22"/>
                <w:szCs w:val="22"/>
              </w:rPr>
            </w:pPr>
            <w:r w:rsidRPr="00CE2342">
              <w:rPr>
                <w:rFonts w:eastAsia="SymbolMT"/>
                <w:bCs/>
                <w:color w:val="000000"/>
                <w:sz w:val="22"/>
                <w:szCs w:val="22"/>
              </w:rPr>
              <w:t>Výše příspěvku</w:t>
            </w:r>
          </w:p>
          <w:p w:rsidR="00CA7390" w:rsidRPr="00CE2342" w:rsidRDefault="00CA7390" w:rsidP="00CE2342">
            <w:pPr>
              <w:autoSpaceDE w:val="0"/>
              <w:autoSpaceDN w:val="0"/>
              <w:adjustRightInd w:val="0"/>
              <w:jc w:val="center"/>
              <w:rPr>
                <w:rFonts w:eastAsia="SymbolMT"/>
                <w:bCs/>
                <w:color w:val="000000"/>
                <w:sz w:val="22"/>
                <w:szCs w:val="22"/>
              </w:rPr>
            </w:pPr>
            <w:r w:rsidRPr="00CE2342">
              <w:rPr>
                <w:rFonts w:eastAsia="SymbolMT"/>
                <w:bCs/>
                <w:color w:val="000000"/>
                <w:sz w:val="22"/>
                <w:szCs w:val="22"/>
              </w:rPr>
              <w:t>(Kč)</w:t>
            </w:r>
          </w:p>
        </w:tc>
      </w:tr>
      <w:tr w:rsidR="00CA7390" w:rsidRPr="00CA7390" w:rsidTr="00CE2342">
        <w:trPr>
          <w:trHeight w:val="187"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390" w:rsidRPr="00CA7390" w:rsidRDefault="00CA7390" w:rsidP="00CE2342">
            <w:pPr>
              <w:autoSpaceDE w:val="0"/>
              <w:autoSpaceDN w:val="0"/>
              <w:adjustRightInd w:val="0"/>
              <w:jc w:val="both"/>
              <w:rPr>
                <w:rFonts w:eastAsia="SymbolMT"/>
                <w:bCs/>
                <w:color w:val="000000"/>
              </w:rPr>
            </w:pPr>
            <w:r w:rsidRPr="00CA7390">
              <w:rPr>
                <w:rFonts w:eastAsia="SymbolMT"/>
                <w:bCs/>
                <w:color w:val="000000"/>
              </w:rPr>
              <w:t>Praha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90" w:rsidRPr="008237B2" w:rsidRDefault="00B31996" w:rsidP="00CE234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000000"/>
              </w:rPr>
            </w:pPr>
            <w:r>
              <w:rPr>
                <w:rFonts w:eastAsia="SymbolMT"/>
                <w:color w:val="000000"/>
              </w:rP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90" w:rsidRPr="00CA7390" w:rsidRDefault="00B31996" w:rsidP="00CE234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000000"/>
              </w:rPr>
            </w:pPr>
            <w:r>
              <w:rPr>
                <w:rFonts w:eastAsia="SymbolMT"/>
                <w:color w:val="000000"/>
              </w:rPr>
              <w:t>1 726 000</w:t>
            </w:r>
          </w:p>
        </w:tc>
      </w:tr>
      <w:tr w:rsidR="00CA7390" w:rsidRPr="00CA7390" w:rsidTr="00CE2342">
        <w:trPr>
          <w:trHeight w:val="221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390" w:rsidRPr="00CA7390" w:rsidRDefault="00CA7390" w:rsidP="00CE2342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CA7390">
              <w:rPr>
                <w:rFonts w:eastAsia="SymbolMT"/>
                <w:bCs/>
                <w:color w:val="000000"/>
              </w:rPr>
              <w:t>Praha 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90" w:rsidRPr="008237B2" w:rsidRDefault="00B31996" w:rsidP="00CE234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000000"/>
                <w:highlight w:val="yellow"/>
              </w:rPr>
            </w:pPr>
            <w:r>
              <w:rPr>
                <w:rFonts w:eastAsia="SymbolMT"/>
                <w:color w:val="00000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390" w:rsidRPr="00CA7390" w:rsidRDefault="00B31996" w:rsidP="00CE234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000000"/>
              </w:rPr>
            </w:pPr>
            <w:r>
              <w:rPr>
                <w:rFonts w:eastAsia="SymbolMT"/>
                <w:color w:val="000000"/>
              </w:rPr>
              <w:t>414 000</w:t>
            </w:r>
          </w:p>
        </w:tc>
      </w:tr>
    </w:tbl>
    <w:p w:rsidR="00CA7390" w:rsidRPr="00CA7390" w:rsidRDefault="00D45ED8" w:rsidP="00F40595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eastAsia="SymbolMT"/>
          <w:b/>
          <w:color w:val="000000"/>
        </w:rPr>
      </w:pPr>
      <w:r>
        <w:rPr>
          <w:rFonts w:eastAsia="SymbolMT"/>
          <w:b/>
          <w:color w:val="000000"/>
        </w:rPr>
        <w:t>Financování vydávání</w:t>
      </w:r>
      <w:r w:rsidR="00CA7390" w:rsidRPr="00CA7390">
        <w:rPr>
          <w:rFonts w:eastAsia="SymbolMT"/>
          <w:b/>
          <w:color w:val="000000"/>
        </w:rPr>
        <w:t xml:space="preserve"> občanský</w:t>
      </w:r>
      <w:r>
        <w:rPr>
          <w:rFonts w:eastAsia="SymbolMT"/>
          <w:b/>
          <w:color w:val="000000"/>
        </w:rPr>
        <w:t>ch</w:t>
      </w:r>
      <w:r w:rsidR="00CA7390" w:rsidRPr="00CA7390">
        <w:rPr>
          <w:rFonts w:eastAsia="SymbolMT"/>
          <w:b/>
          <w:color w:val="000000"/>
        </w:rPr>
        <w:t xml:space="preserve"> průkaz</w:t>
      </w:r>
      <w:r>
        <w:rPr>
          <w:rFonts w:eastAsia="SymbolMT"/>
          <w:b/>
          <w:color w:val="000000"/>
        </w:rPr>
        <w:t>ů</w:t>
      </w:r>
    </w:p>
    <w:p w:rsidR="00CA7390" w:rsidRDefault="00CA7390" w:rsidP="00F40595">
      <w:pPr>
        <w:autoSpaceDE w:val="0"/>
        <w:autoSpaceDN w:val="0"/>
        <w:adjustRightInd w:val="0"/>
        <w:spacing w:before="120" w:after="120"/>
        <w:ind w:left="426"/>
        <w:jc w:val="both"/>
        <w:rPr>
          <w:rFonts w:eastAsia="SymbolMT"/>
          <w:color w:val="000000"/>
        </w:rPr>
      </w:pPr>
      <w:r w:rsidRPr="002C41FF">
        <w:rPr>
          <w:rFonts w:eastAsia="SymbolMT"/>
          <w:color w:val="000000"/>
        </w:rPr>
        <w:t xml:space="preserve">V celkové </w:t>
      </w:r>
      <w:r w:rsidR="00584FDB" w:rsidRPr="002C41FF">
        <w:rPr>
          <w:rFonts w:eastAsia="SymbolMT"/>
          <w:color w:val="000000"/>
        </w:rPr>
        <w:t>výši</w:t>
      </w:r>
      <w:r w:rsidRPr="002C41FF">
        <w:rPr>
          <w:rFonts w:eastAsia="SymbolMT"/>
          <w:color w:val="000000"/>
        </w:rPr>
        <w:t xml:space="preserve"> příspě</w:t>
      </w:r>
      <w:r w:rsidRPr="00CA7390">
        <w:rPr>
          <w:rFonts w:eastAsia="SymbolMT"/>
          <w:color w:val="000000"/>
        </w:rPr>
        <w:t xml:space="preserve">vku na výkon státní správy pro hl. m. Prahu </w:t>
      </w:r>
      <w:r w:rsidRPr="00CA7390">
        <w:rPr>
          <w:rFonts w:eastAsia="SymbolMT"/>
          <w:b/>
          <w:color w:val="000000"/>
        </w:rPr>
        <w:t xml:space="preserve">je </w:t>
      </w:r>
      <w:r w:rsidR="000659BC">
        <w:rPr>
          <w:rFonts w:eastAsia="SymbolMT"/>
          <w:b/>
          <w:color w:val="000000"/>
        </w:rPr>
        <w:t>obsažena</w:t>
      </w:r>
      <w:r w:rsidRPr="00CA7390">
        <w:rPr>
          <w:rFonts w:eastAsia="SymbolMT"/>
          <w:b/>
          <w:color w:val="000000"/>
        </w:rPr>
        <w:t xml:space="preserve"> paušální platba na financování vydávání občanských průkazů</w:t>
      </w:r>
      <w:r w:rsidRPr="00CA7390">
        <w:rPr>
          <w:rFonts w:eastAsia="SymbolMT"/>
          <w:color w:val="000000"/>
        </w:rPr>
        <w:t xml:space="preserve"> v působnosti hl</w:t>
      </w:r>
      <w:r w:rsidR="0064348C">
        <w:rPr>
          <w:rFonts w:eastAsia="SymbolMT"/>
          <w:color w:val="000000"/>
        </w:rPr>
        <w:t>. m. Prahy</w:t>
      </w:r>
      <w:r w:rsidRPr="00CA7390">
        <w:rPr>
          <w:rFonts w:eastAsia="SymbolMT"/>
          <w:color w:val="000000"/>
        </w:rPr>
        <w:t>, respektive městských částí hl</w:t>
      </w:r>
      <w:r w:rsidR="0064348C">
        <w:rPr>
          <w:rFonts w:eastAsia="SymbolMT"/>
          <w:color w:val="000000"/>
        </w:rPr>
        <w:t xml:space="preserve">. m. </w:t>
      </w:r>
      <w:r w:rsidRPr="00CA7390">
        <w:rPr>
          <w:rFonts w:eastAsia="SymbolMT"/>
          <w:color w:val="000000"/>
        </w:rPr>
        <w:t xml:space="preserve">v závislosti na počtu podaných žádostí o jeho vydání. Konkrétně se jedná o částku </w:t>
      </w:r>
      <w:r w:rsidR="00B31996">
        <w:rPr>
          <w:rFonts w:eastAsia="SymbolMT"/>
          <w:b/>
          <w:color w:val="000000"/>
        </w:rPr>
        <w:t>18 468 885</w:t>
      </w:r>
      <w:r w:rsidRPr="00390476">
        <w:rPr>
          <w:rFonts w:eastAsia="SymbolMT"/>
          <w:b/>
          <w:color w:val="000000"/>
        </w:rPr>
        <w:t xml:space="preserve"> Kč</w:t>
      </w:r>
      <w:r w:rsidRPr="00F47ED3">
        <w:rPr>
          <w:rFonts w:eastAsia="SymbolMT"/>
        </w:rPr>
        <w:t xml:space="preserve">, </w:t>
      </w:r>
      <w:r w:rsidR="00176637" w:rsidRPr="00F47ED3">
        <w:rPr>
          <w:rFonts w:eastAsia="SymbolMT"/>
        </w:rPr>
        <w:t xml:space="preserve">indikativní </w:t>
      </w:r>
      <w:r w:rsidRPr="00F47ED3">
        <w:rPr>
          <w:rFonts w:eastAsia="SymbolMT"/>
        </w:rPr>
        <w:t>přerozdělení dle</w:t>
      </w:r>
      <w:r w:rsidRPr="00CA7390">
        <w:rPr>
          <w:rFonts w:eastAsia="SymbolMT"/>
          <w:color w:val="000000"/>
        </w:rPr>
        <w:t xml:space="preserve"> jednotlivých městských částí je uvedeno </w:t>
      </w:r>
      <w:r w:rsidRPr="00601E5F">
        <w:rPr>
          <w:rFonts w:eastAsia="SymbolMT"/>
          <w:color w:val="000000"/>
        </w:rPr>
        <w:t>v příloze č. </w:t>
      </w:r>
      <w:r w:rsidR="00B31996" w:rsidRPr="00601E5F">
        <w:rPr>
          <w:rFonts w:eastAsia="SymbolMT"/>
          <w:color w:val="000000"/>
        </w:rPr>
        <w:t>8</w:t>
      </w:r>
      <w:r w:rsidRPr="00CA7390">
        <w:rPr>
          <w:rFonts w:eastAsia="SymbolMT"/>
          <w:color w:val="000000"/>
        </w:rPr>
        <w:t> tabulkové části dokumentace</w:t>
      </w:r>
      <w:r w:rsidR="00584FDB">
        <w:rPr>
          <w:rFonts w:eastAsia="SymbolMT"/>
          <w:color w:val="000000"/>
        </w:rPr>
        <w:t xml:space="preserve"> k zákonu o</w:t>
      </w:r>
      <w:r w:rsidR="00EB61ED">
        <w:rPr>
          <w:rFonts w:eastAsia="SymbolMT"/>
          <w:color w:val="000000"/>
        </w:rPr>
        <w:t> </w:t>
      </w:r>
      <w:r w:rsidR="00584FDB">
        <w:rPr>
          <w:rFonts w:eastAsia="SymbolMT"/>
          <w:color w:val="000000"/>
        </w:rPr>
        <w:t>státním rozpočtu České republiky na rok 20</w:t>
      </w:r>
      <w:r w:rsidR="00B31996">
        <w:rPr>
          <w:rFonts w:eastAsia="SymbolMT"/>
          <w:color w:val="000000"/>
        </w:rPr>
        <w:t>20</w:t>
      </w:r>
      <w:r w:rsidR="00234B21">
        <w:rPr>
          <w:rFonts w:eastAsia="SymbolMT"/>
          <w:color w:val="000000"/>
        </w:rPr>
        <w:t xml:space="preserve"> (sešit G).</w:t>
      </w:r>
      <w:r w:rsidRPr="00CA7390">
        <w:rPr>
          <w:rFonts w:eastAsia="SymbolMT"/>
          <w:color w:val="000000"/>
        </w:rPr>
        <w:t xml:space="preserve"> </w:t>
      </w:r>
    </w:p>
    <w:p w:rsidR="00BC40DA" w:rsidRDefault="00BC40DA" w:rsidP="00BC40DA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eastAsia="SymbolMT"/>
          <w:b/>
          <w:color w:val="000000"/>
        </w:rPr>
      </w:pPr>
      <w:r w:rsidRPr="00BC40DA">
        <w:rPr>
          <w:rFonts w:eastAsia="SymbolMT"/>
          <w:b/>
          <w:color w:val="000000"/>
        </w:rPr>
        <w:t>Financování vydávání řidičských průkazů</w:t>
      </w:r>
    </w:p>
    <w:p w:rsidR="00BC40DA" w:rsidRPr="00BC40DA" w:rsidRDefault="00BC40DA" w:rsidP="00BC40DA">
      <w:pPr>
        <w:autoSpaceDE w:val="0"/>
        <w:autoSpaceDN w:val="0"/>
        <w:adjustRightInd w:val="0"/>
        <w:spacing w:before="240" w:after="120"/>
        <w:ind w:left="425"/>
        <w:jc w:val="both"/>
        <w:rPr>
          <w:rFonts w:eastAsia="SymbolMT"/>
          <w:color w:val="000000"/>
        </w:rPr>
      </w:pPr>
      <w:r>
        <w:rPr>
          <w:rFonts w:eastAsia="SymbolMT"/>
          <w:color w:val="000000"/>
        </w:rPr>
        <w:t>V celkové výši příspěvku je obsažena paušální platba</w:t>
      </w:r>
      <w:r w:rsidR="00B618E0">
        <w:rPr>
          <w:rFonts w:eastAsia="SymbolMT"/>
          <w:color w:val="000000"/>
        </w:rPr>
        <w:t xml:space="preserve"> </w:t>
      </w:r>
      <w:r>
        <w:rPr>
          <w:rFonts w:eastAsia="SymbolMT"/>
          <w:color w:val="000000"/>
        </w:rPr>
        <w:t>na financování vydávání řidičských průkazů v závislosti na počtu podaných žádostí o jeho vydání. Konkrétně se jedná o</w:t>
      </w:r>
      <w:r w:rsidR="00EB61ED">
        <w:rPr>
          <w:rFonts w:eastAsia="SymbolMT"/>
          <w:color w:val="000000"/>
        </w:rPr>
        <w:t> </w:t>
      </w:r>
      <w:r>
        <w:rPr>
          <w:rFonts w:eastAsia="SymbolMT"/>
          <w:color w:val="000000"/>
        </w:rPr>
        <w:t xml:space="preserve">částku </w:t>
      </w:r>
      <w:r w:rsidRPr="00BC40DA">
        <w:rPr>
          <w:rFonts w:eastAsia="SymbolMT"/>
          <w:b/>
          <w:color w:val="000000"/>
        </w:rPr>
        <w:t>5 198 575 Kč</w:t>
      </w:r>
      <w:r>
        <w:rPr>
          <w:rFonts w:eastAsia="SymbolMT"/>
          <w:b/>
          <w:color w:val="000000"/>
        </w:rPr>
        <w:t xml:space="preserve"> </w:t>
      </w:r>
      <w:r>
        <w:rPr>
          <w:rFonts w:eastAsia="SymbolMT"/>
          <w:color w:val="000000"/>
        </w:rPr>
        <w:t>(viz část Příspěvek na výkon státní správy pro obce) na počet přijatých žádostí v období od 1. 1. do 31. 12. 2018 (celkem 45 205)</w:t>
      </w:r>
      <w:r w:rsidR="00B618E0">
        <w:rPr>
          <w:rFonts w:eastAsia="SymbolMT"/>
          <w:color w:val="000000"/>
        </w:rPr>
        <w:t xml:space="preserve">. </w:t>
      </w:r>
    </w:p>
    <w:p w:rsidR="00305DE2" w:rsidRDefault="00D45ED8" w:rsidP="00F40595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eastAsia="SymbolMT"/>
          <w:b/>
          <w:color w:val="000000"/>
        </w:rPr>
      </w:pPr>
      <w:r>
        <w:rPr>
          <w:rFonts w:eastAsia="SymbolMT"/>
          <w:b/>
          <w:color w:val="000000"/>
        </w:rPr>
        <w:t>F</w:t>
      </w:r>
      <w:r w:rsidR="00305DE2" w:rsidRPr="00305DE2">
        <w:rPr>
          <w:rFonts w:eastAsia="SymbolMT"/>
          <w:b/>
          <w:color w:val="000000"/>
        </w:rPr>
        <w:t xml:space="preserve">inancování </w:t>
      </w:r>
      <w:r>
        <w:rPr>
          <w:rFonts w:eastAsia="SymbolMT"/>
          <w:b/>
          <w:color w:val="000000"/>
        </w:rPr>
        <w:t xml:space="preserve">úřadů </w:t>
      </w:r>
      <w:r w:rsidR="00305DE2" w:rsidRPr="00305DE2">
        <w:rPr>
          <w:rFonts w:eastAsia="SymbolMT"/>
          <w:b/>
          <w:color w:val="000000"/>
        </w:rPr>
        <w:t>územního plánování</w:t>
      </w:r>
    </w:p>
    <w:p w:rsidR="00305DE2" w:rsidRDefault="00305DE2" w:rsidP="00F40595">
      <w:pPr>
        <w:autoSpaceDE w:val="0"/>
        <w:autoSpaceDN w:val="0"/>
        <w:adjustRightInd w:val="0"/>
        <w:spacing w:before="240" w:after="120"/>
        <w:ind w:left="426"/>
        <w:jc w:val="both"/>
        <w:rPr>
          <w:rFonts w:eastAsia="SymbolMT"/>
          <w:color w:val="000000"/>
        </w:rPr>
      </w:pPr>
      <w:r>
        <w:rPr>
          <w:rFonts w:eastAsia="SymbolMT"/>
          <w:color w:val="000000"/>
        </w:rPr>
        <w:t xml:space="preserve">V celkové částce příspěvku na výkon státní správy pro hl. m. Prahu jsou obsaženy prostředky </w:t>
      </w:r>
      <w:r w:rsidRPr="00510E95">
        <w:rPr>
          <w:rFonts w:eastAsia="SymbolMT"/>
          <w:b/>
          <w:color w:val="000000"/>
        </w:rPr>
        <w:t>k financování agendy úřad</w:t>
      </w:r>
      <w:r w:rsidR="009D332B">
        <w:rPr>
          <w:rFonts w:eastAsia="SymbolMT"/>
          <w:b/>
          <w:color w:val="000000"/>
        </w:rPr>
        <w:t>u</w:t>
      </w:r>
      <w:r w:rsidRPr="00510E95">
        <w:rPr>
          <w:rFonts w:eastAsia="SymbolMT"/>
          <w:b/>
          <w:color w:val="000000"/>
        </w:rPr>
        <w:t xml:space="preserve"> územního plánování</w:t>
      </w:r>
      <w:r>
        <w:rPr>
          <w:rFonts w:eastAsia="SymbolMT"/>
          <w:color w:val="000000"/>
        </w:rPr>
        <w:t xml:space="preserve"> v částce </w:t>
      </w:r>
      <w:r w:rsidR="000D126B">
        <w:rPr>
          <w:rFonts w:eastAsia="SymbolMT"/>
          <w:b/>
          <w:color w:val="000000"/>
        </w:rPr>
        <w:t>9 784 150</w:t>
      </w:r>
      <w:r w:rsidR="00510E95">
        <w:rPr>
          <w:rFonts w:eastAsia="SymbolMT"/>
          <w:b/>
          <w:color w:val="000000"/>
        </w:rPr>
        <w:t> </w:t>
      </w:r>
      <w:r w:rsidRPr="0042117F">
        <w:rPr>
          <w:rFonts w:eastAsia="SymbolMT"/>
          <w:b/>
          <w:color w:val="000000"/>
        </w:rPr>
        <w:t>Kč</w:t>
      </w:r>
      <w:r>
        <w:rPr>
          <w:rFonts w:eastAsia="SymbolMT"/>
          <w:color w:val="000000"/>
        </w:rPr>
        <w:t xml:space="preserve"> </w:t>
      </w:r>
      <w:r w:rsidR="00A521A8">
        <w:rPr>
          <w:rFonts w:eastAsia="SymbolMT"/>
          <w:color w:val="000000"/>
        </w:rPr>
        <w:t>v závislosti na počtu případů/</w:t>
      </w:r>
      <w:r>
        <w:rPr>
          <w:rFonts w:eastAsia="SymbolMT"/>
          <w:color w:val="000000"/>
        </w:rPr>
        <w:t xml:space="preserve">závazných stanovisek </w:t>
      </w:r>
      <w:r w:rsidR="00356C10">
        <w:rPr>
          <w:rFonts w:eastAsia="SymbolMT"/>
          <w:color w:val="000000"/>
        </w:rPr>
        <w:t>(</w:t>
      </w:r>
      <w:r w:rsidR="00356C10" w:rsidRPr="00B618E0">
        <w:rPr>
          <w:rFonts w:eastAsia="SymbolMT"/>
          <w:color w:val="000000"/>
        </w:rPr>
        <w:t>celkem 3 950</w:t>
      </w:r>
      <w:r w:rsidR="00356C10">
        <w:rPr>
          <w:rFonts w:eastAsia="SymbolMT"/>
          <w:b/>
          <w:color w:val="000000"/>
        </w:rPr>
        <w:t xml:space="preserve"> </w:t>
      </w:r>
      <w:r w:rsidR="00356C10" w:rsidRPr="00A521A8">
        <w:rPr>
          <w:rFonts w:eastAsia="SymbolMT"/>
          <w:color w:val="000000"/>
        </w:rPr>
        <w:t>případů</w:t>
      </w:r>
      <w:r w:rsidR="00356C10">
        <w:rPr>
          <w:rFonts w:eastAsia="SymbolMT"/>
          <w:color w:val="000000"/>
        </w:rPr>
        <w:t xml:space="preserve">) </w:t>
      </w:r>
      <w:r w:rsidR="000D126B">
        <w:rPr>
          <w:rFonts w:eastAsia="SymbolMT"/>
          <w:color w:val="000000"/>
        </w:rPr>
        <w:t xml:space="preserve">vydaných </w:t>
      </w:r>
      <w:r>
        <w:rPr>
          <w:rFonts w:eastAsia="SymbolMT"/>
          <w:color w:val="000000"/>
        </w:rPr>
        <w:t>v období od 1.</w:t>
      </w:r>
      <w:r w:rsidR="00356C10">
        <w:rPr>
          <w:rFonts w:eastAsia="SymbolMT"/>
          <w:color w:val="000000"/>
        </w:rPr>
        <w:t xml:space="preserve"> </w:t>
      </w:r>
      <w:r>
        <w:rPr>
          <w:rFonts w:eastAsia="SymbolMT"/>
          <w:color w:val="000000"/>
        </w:rPr>
        <w:t>1. do 31.</w:t>
      </w:r>
      <w:r w:rsidR="00356C10">
        <w:rPr>
          <w:rFonts w:eastAsia="SymbolMT"/>
          <w:color w:val="000000"/>
        </w:rPr>
        <w:t xml:space="preserve"> </w:t>
      </w:r>
      <w:r>
        <w:rPr>
          <w:rFonts w:eastAsia="SymbolMT"/>
          <w:color w:val="000000"/>
        </w:rPr>
        <w:t>12. 201</w:t>
      </w:r>
      <w:r w:rsidR="000D126B">
        <w:rPr>
          <w:rFonts w:eastAsia="SymbolMT"/>
          <w:color w:val="000000"/>
        </w:rPr>
        <w:t>8</w:t>
      </w:r>
      <w:r w:rsidR="00356C10">
        <w:rPr>
          <w:rFonts w:eastAsia="SymbolMT"/>
          <w:color w:val="000000"/>
        </w:rPr>
        <w:t>.</w:t>
      </w:r>
    </w:p>
    <w:p w:rsidR="00D65EC1" w:rsidRPr="00A726D6" w:rsidRDefault="00D65EC1" w:rsidP="00F40595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eastAsia="SymbolMT"/>
          <w:b/>
        </w:rPr>
      </w:pPr>
      <w:r w:rsidRPr="00A726D6">
        <w:rPr>
          <w:rFonts w:eastAsia="SymbolMT"/>
          <w:b/>
        </w:rPr>
        <w:t>Financování matričních úřadů</w:t>
      </w:r>
    </w:p>
    <w:p w:rsidR="00D65EC1" w:rsidRDefault="00D65EC1" w:rsidP="00F40595">
      <w:pPr>
        <w:autoSpaceDE w:val="0"/>
        <w:autoSpaceDN w:val="0"/>
        <w:adjustRightInd w:val="0"/>
        <w:spacing w:before="240" w:after="120"/>
        <w:ind w:left="426"/>
        <w:jc w:val="both"/>
        <w:rPr>
          <w:rFonts w:eastAsia="SymbolMT"/>
        </w:rPr>
      </w:pPr>
      <w:r w:rsidRPr="00A726D6">
        <w:rPr>
          <w:rFonts w:eastAsia="SymbolMT"/>
        </w:rPr>
        <w:t xml:space="preserve">V celkové částce příspěvku jsou obsaženy prostředky na financování matričních úřadů v závislosti na počtu sledovaných úkonů </w:t>
      </w:r>
      <w:r w:rsidR="009124BD" w:rsidRPr="00A726D6">
        <w:rPr>
          <w:rFonts w:eastAsia="SymbolMT"/>
        </w:rPr>
        <w:t xml:space="preserve">zápisů do matričních knih </w:t>
      </w:r>
      <w:r w:rsidRPr="00A726D6">
        <w:rPr>
          <w:rFonts w:eastAsia="SymbolMT"/>
        </w:rPr>
        <w:t xml:space="preserve">(viz část Příspěvek na výkon státní správy pro obce). V případě hl. m. Prahy bude financována jen výkonová složka, a to z důvodu vznikající úspory z rozsahu. Konkrétně se jedná o částku </w:t>
      </w:r>
      <w:r w:rsidRPr="00A726D6">
        <w:rPr>
          <w:rFonts w:eastAsia="SymbolMT"/>
          <w:b/>
        </w:rPr>
        <w:t>39 028 911 Kč</w:t>
      </w:r>
      <w:r w:rsidRPr="00A726D6">
        <w:rPr>
          <w:rFonts w:eastAsia="SymbolMT"/>
        </w:rPr>
        <w:t xml:space="preserve">, indikativní přerozdělení dle jednotlivých městských částí </w:t>
      </w:r>
      <w:r w:rsidR="00F40595" w:rsidRPr="00A726D6">
        <w:rPr>
          <w:rFonts w:eastAsia="SymbolMT"/>
        </w:rPr>
        <w:t>je v příloze č. 9 tabulkové části dokumentace k zákonu o státním rozpočtu České republiky na rok 2020</w:t>
      </w:r>
      <w:r w:rsidR="00234B21">
        <w:rPr>
          <w:rFonts w:eastAsia="SymbolMT"/>
        </w:rPr>
        <w:t xml:space="preserve"> (sešit G)</w:t>
      </w:r>
      <w:r w:rsidR="00F40595" w:rsidRPr="00A726D6">
        <w:rPr>
          <w:rFonts w:eastAsia="SymbolMT"/>
        </w:rPr>
        <w:t>.</w:t>
      </w:r>
    </w:p>
    <w:p w:rsidR="00564727" w:rsidRPr="00BF1FB7" w:rsidRDefault="00564727" w:rsidP="00564727">
      <w:pPr>
        <w:spacing w:before="240"/>
        <w:jc w:val="both"/>
        <w:rPr>
          <w:rFonts w:eastAsia="SymbolMT"/>
          <w:b/>
        </w:rPr>
      </w:pPr>
      <w:r w:rsidRPr="00BF1FB7">
        <w:rPr>
          <w:rFonts w:eastAsia="SymbolMT"/>
          <w:b/>
        </w:rPr>
        <w:t>Postup stanovení příspěvku na výkon státní správy</w:t>
      </w:r>
      <w:r>
        <w:rPr>
          <w:rFonts w:eastAsia="SymbolMT"/>
          <w:b/>
        </w:rPr>
        <w:t xml:space="preserve"> jednotlivým obcím a hlavnímu městu Praze </w:t>
      </w:r>
      <w:r w:rsidRPr="00BF1FB7">
        <w:rPr>
          <w:rFonts w:eastAsia="SymbolMT"/>
          <w:b/>
        </w:rPr>
        <w:t>je uveden v příloze č. 8 k zákonu o státním rozpočtu České republiky na rok 2020.</w:t>
      </w:r>
    </w:p>
    <w:p w:rsidR="00BC15AA" w:rsidRDefault="00BC15AA" w:rsidP="00BC15AA">
      <w:pPr>
        <w:autoSpaceDE w:val="0"/>
        <w:autoSpaceDN w:val="0"/>
        <w:adjustRightInd w:val="0"/>
        <w:spacing w:before="240" w:after="120"/>
        <w:ind w:left="426" w:hanging="426"/>
        <w:jc w:val="both"/>
        <w:rPr>
          <w:rFonts w:eastAsia="SymbolMT"/>
        </w:rPr>
      </w:pPr>
      <w:r w:rsidRPr="00BC15AA">
        <w:rPr>
          <w:rFonts w:eastAsia="SymbolMT"/>
          <w:b/>
        </w:rPr>
        <w:t>Příspěvek na výkon státní správy nepodléhá finančnímu vypořádání</w:t>
      </w:r>
      <w:r>
        <w:rPr>
          <w:rFonts w:eastAsia="SymbolMT"/>
        </w:rPr>
        <w:t>.</w:t>
      </w:r>
    </w:p>
    <w:p w:rsidR="000D26DF" w:rsidRDefault="000D26DF" w:rsidP="000D26DF">
      <w:pPr>
        <w:tabs>
          <w:tab w:val="left" w:pos="9000"/>
        </w:tabs>
        <w:spacing w:before="120" w:after="120"/>
        <w:ind w:right="70"/>
        <w:jc w:val="both"/>
        <w:rPr>
          <w:rFonts w:cs="Arial"/>
          <w:szCs w:val="20"/>
        </w:rPr>
      </w:pPr>
      <w:r w:rsidRPr="0058243C">
        <w:rPr>
          <w:rFonts w:cs="Arial"/>
          <w:szCs w:val="20"/>
        </w:rPr>
        <w:lastRenderedPageBreak/>
        <w:t>Jestliže obec nebo kraj shledá rozdíl ve výši příspěvku na výkon státní správy (</w:t>
      </w:r>
      <w:r w:rsidRPr="0058243C">
        <w:rPr>
          <w:rFonts w:cs="Arial"/>
          <w:i/>
          <w:szCs w:val="20"/>
        </w:rPr>
        <w:t>zpravidla k tomu dochází v důsledku odlišného počtu obyvatel správního obvodu u</w:t>
      </w:r>
      <w:r>
        <w:rPr>
          <w:rFonts w:cs="Arial"/>
          <w:i/>
          <w:szCs w:val="20"/>
        </w:rPr>
        <w:t> </w:t>
      </w:r>
      <w:r w:rsidRPr="0058243C">
        <w:rPr>
          <w:rFonts w:cs="Arial"/>
          <w:i/>
          <w:szCs w:val="20"/>
        </w:rPr>
        <w:t>stavebních úřadů</w:t>
      </w:r>
      <w:r w:rsidRPr="0058243C">
        <w:rPr>
          <w:rFonts w:cs="Arial"/>
          <w:szCs w:val="20"/>
        </w:rPr>
        <w:t>) vůči t</w:t>
      </w:r>
      <w:r>
        <w:rPr>
          <w:rFonts w:cs="Arial"/>
          <w:szCs w:val="20"/>
        </w:rPr>
        <w:t>é</w:t>
      </w:r>
      <w:r w:rsidRPr="0058243C">
        <w:rPr>
          <w:rFonts w:cs="Arial"/>
          <w:szCs w:val="20"/>
        </w:rPr>
        <w:t>, kter</w:t>
      </w:r>
      <w:r>
        <w:rPr>
          <w:rFonts w:cs="Arial"/>
          <w:szCs w:val="20"/>
        </w:rPr>
        <w:t>á</w:t>
      </w:r>
      <w:r w:rsidRPr="0058243C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58243C">
        <w:rPr>
          <w:rFonts w:cs="Arial"/>
          <w:szCs w:val="20"/>
        </w:rPr>
        <w:t xml:space="preserve"> zapracován</w:t>
      </w:r>
      <w:r>
        <w:rPr>
          <w:rFonts w:cs="Arial"/>
          <w:szCs w:val="20"/>
        </w:rPr>
        <w:t>a</w:t>
      </w:r>
      <w:r w:rsidRPr="0058243C">
        <w:rPr>
          <w:rFonts w:cs="Arial"/>
          <w:szCs w:val="20"/>
        </w:rPr>
        <w:t xml:space="preserve"> do propočtu příspěvku na rok </w:t>
      </w:r>
      <w:r>
        <w:rPr>
          <w:rFonts w:cs="Arial"/>
          <w:szCs w:val="20"/>
        </w:rPr>
        <w:t>20</w:t>
      </w:r>
      <w:r w:rsidR="00F40595">
        <w:rPr>
          <w:rFonts w:cs="Arial"/>
          <w:szCs w:val="20"/>
        </w:rPr>
        <w:t>20</w:t>
      </w:r>
      <w:r>
        <w:rPr>
          <w:rFonts w:cs="Arial"/>
          <w:szCs w:val="20"/>
        </w:rPr>
        <w:t xml:space="preserve"> (data zveřejněna na webu M</w:t>
      </w:r>
      <w:r w:rsidR="00F40595">
        <w:rPr>
          <w:rFonts w:cs="Arial"/>
          <w:szCs w:val="20"/>
        </w:rPr>
        <w:t xml:space="preserve">inisterstva vnitra </w:t>
      </w:r>
      <w:r>
        <w:rPr>
          <w:rFonts w:cs="Arial"/>
          <w:szCs w:val="20"/>
        </w:rPr>
        <w:t>ČR)</w:t>
      </w:r>
      <w:r w:rsidRPr="0058243C">
        <w:rPr>
          <w:rFonts w:cs="Arial"/>
          <w:szCs w:val="20"/>
        </w:rPr>
        <w:t>, zašle</w:t>
      </w:r>
      <w:r>
        <w:rPr>
          <w:rFonts w:cs="Arial"/>
          <w:szCs w:val="20"/>
        </w:rPr>
        <w:t xml:space="preserve"> obec</w:t>
      </w:r>
      <w:r w:rsidRPr="0058243C">
        <w:rPr>
          <w:rFonts w:cs="Arial"/>
          <w:szCs w:val="20"/>
        </w:rPr>
        <w:t xml:space="preserve"> prostřednictvím krajského úřadu v tomto smyslu žádost o</w:t>
      </w:r>
      <w:r w:rsidR="00EB61ED">
        <w:rPr>
          <w:rFonts w:cs="Arial"/>
          <w:szCs w:val="20"/>
        </w:rPr>
        <w:t> </w:t>
      </w:r>
      <w:r w:rsidRPr="0058243C">
        <w:rPr>
          <w:rFonts w:cs="Arial"/>
          <w:szCs w:val="20"/>
        </w:rPr>
        <w:t>úpravu výše příspěvku Ministerstvu vnitra</w:t>
      </w:r>
      <w:r>
        <w:rPr>
          <w:rFonts w:cs="Arial"/>
          <w:szCs w:val="20"/>
        </w:rPr>
        <w:t xml:space="preserve"> a její kopii Ministerstvu financí.</w:t>
      </w:r>
      <w:r w:rsidRPr="0058243C">
        <w:rPr>
          <w:rFonts w:cs="Arial"/>
          <w:szCs w:val="20"/>
        </w:rPr>
        <w:t xml:space="preserve"> Obec kraji současně předá veškeré relevantní podklady, na jejichž základě usuzuje na nesprávnost stanovení výše příspěvku. Příslušný krajský úřad případně připojí další související dokumenty a zašle veškeré podklady spolu se svým s</w:t>
      </w:r>
      <w:r>
        <w:rPr>
          <w:rFonts w:cs="Arial"/>
          <w:szCs w:val="20"/>
        </w:rPr>
        <w:t xml:space="preserve">tanoviskem Ministerstvu vnitra. </w:t>
      </w:r>
      <w:r w:rsidRPr="0058243C">
        <w:rPr>
          <w:rFonts w:cs="Arial"/>
          <w:szCs w:val="20"/>
        </w:rPr>
        <w:t xml:space="preserve">Ministerstvo vnitra (případně i za součinnosti dalších resortů – např. Ministerstva pro místní rozvoj) zaslané </w:t>
      </w:r>
      <w:r w:rsidRPr="00554AED">
        <w:rPr>
          <w:rFonts w:cs="Arial"/>
          <w:szCs w:val="20"/>
        </w:rPr>
        <w:t>podklady posoudí a rozhodne o případné korekci výše příspěvku na výkon státní správy pro veškeré změnou dotčené obce. Ministerstvo financí na tomto základě rozhodne</w:t>
      </w:r>
      <w:r w:rsidR="009B08FE" w:rsidRPr="00554AED">
        <w:rPr>
          <w:rFonts w:cs="Arial"/>
          <w:szCs w:val="20"/>
        </w:rPr>
        <w:t>,</w:t>
      </w:r>
      <w:r w:rsidRPr="00554AED">
        <w:rPr>
          <w:rFonts w:cs="Arial"/>
          <w:szCs w:val="20"/>
        </w:rPr>
        <w:t xml:space="preserve"> zda bude provedeno příslušné opatření ve vztahu ke schválenému příspěvku.</w:t>
      </w:r>
    </w:p>
    <w:p w:rsidR="00A108E6" w:rsidRPr="00554AED" w:rsidRDefault="00A108E6" w:rsidP="000D26DF">
      <w:pPr>
        <w:tabs>
          <w:tab w:val="left" w:pos="9000"/>
        </w:tabs>
        <w:spacing w:before="120" w:after="120"/>
        <w:ind w:right="70"/>
        <w:jc w:val="both"/>
        <w:rPr>
          <w:rFonts w:cs="Arial"/>
          <w:szCs w:val="20"/>
        </w:rPr>
      </w:pPr>
    </w:p>
    <w:p w:rsidR="0009536A" w:rsidRPr="00FB15DC" w:rsidRDefault="0009536A" w:rsidP="009B08FE">
      <w:pPr>
        <w:pStyle w:val="Zkladntextodsazen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b w:val="0"/>
          <w:i w:val="0"/>
        </w:rPr>
      </w:pPr>
      <w:r w:rsidRPr="00066800">
        <w:rPr>
          <w:i w:val="0"/>
        </w:rPr>
        <w:t>Ad B) Ostatní dotace poskytované z kapitoly Všeobecná pokladní správa státního rozpočtu</w:t>
      </w:r>
      <w:r w:rsidR="00390476">
        <w:rPr>
          <w:i w:val="0"/>
        </w:rPr>
        <w:t xml:space="preserve"> </w:t>
      </w:r>
    </w:p>
    <w:p w:rsidR="00942F38" w:rsidRDefault="00F92FF4" w:rsidP="00284291">
      <w:pPr>
        <w:tabs>
          <w:tab w:val="left" w:pos="9000"/>
        </w:tabs>
        <w:spacing w:before="120" w:after="120"/>
        <w:ind w:right="70"/>
        <w:jc w:val="both"/>
        <w:rPr>
          <w:rFonts w:cs="Arial"/>
          <w:szCs w:val="20"/>
        </w:rPr>
      </w:pPr>
      <w:r w:rsidRPr="00F92FF4">
        <w:rPr>
          <w:rFonts w:cs="Arial"/>
          <w:szCs w:val="20"/>
        </w:rPr>
        <w:t>Mimo finanční vztahy jsou v kapitole Všeobecná pokladní správa rozpočtovány další dotační tituly pro obce a hl. m. Prahu v</w:t>
      </w:r>
      <w:r w:rsidR="002E3D34">
        <w:rPr>
          <w:rFonts w:cs="Arial"/>
          <w:szCs w:val="20"/>
        </w:rPr>
        <w:t> </w:t>
      </w:r>
      <w:r w:rsidRPr="00F92FF4">
        <w:rPr>
          <w:rFonts w:cs="Arial"/>
          <w:szCs w:val="20"/>
        </w:rPr>
        <w:t>celkové</w:t>
      </w:r>
      <w:r w:rsidR="002E3D34">
        <w:rPr>
          <w:rFonts w:cs="Arial"/>
          <w:szCs w:val="20"/>
        </w:rPr>
        <w:t xml:space="preserve"> výši</w:t>
      </w:r>
      <w:r w:rsidRPr="00F92FF4">
        <w:rPr>
          <w:rFonts w:cs="Arial"/>
          <w:szCs w:val="20"/>
        </w:rPr>
        <w:t xml:space="preserve"> </w:t>
      </w:r>
      <w:r w:rsidR="00BC15AA" w:rsidRPr="00BC15AA">
        <w:rPr>
          <w:rFonts w:cs="Arial"/>
          <w:b/>
          <w:szCs w:val="20"/>
        </w:rPr>
        <w:t>1 1</w:t>
      </w:r>
      <w:r w:rsidR="00942F38" w:rsidRPr="00BC15AA">
        <w:rPr>
          <w:rFonts w:cs="Arial"/>
          <w:b/>
          <w:szCs w:val="20"/>
        </w:rPr>
        <w:t>79 651</w:t>
      </w:r>
      <w:r w:rsidR="00964CCB" w:rsidRPr="00BC15AA">
        <w:rPr>
          <w:b/>
          <w:iCs/>
        </w:rPr>
        <w:t xml:space="preserve"> </w:t>
      </w:r>
      <w:r w:rsidRPr="00BC15AA">
        <w:rPr>
          <w:rFonts w:cs="Arial"/>
          <w:b/>
          <w:szCs w:val="20"/>
        </w:rPr>
        <w:t>tis. Kč</w:t>
      </w:r>
      <w:r w:rsidR="00BE4F83">
        <w:rPr>
          <w:rFonts w:cs="Arial"/>
          <w:b/>
          <w:szCs w:val="20"/>
        </w:rPr>
        <w:t xml:space="preserve"> </w:t>
      </w:r>
      <w:r w:rsidRPr="00F92FF4">
        <w:rPr>
          <w:rFonts w:cs="Arial"/>
          <w:szCs w:val="20"/>
        </w:rPr>
        <w:t>v ukazateli „Výdaje vedené v informačním systému programového financování EDS/SMVS celkem“</w:t>
      </w:r>
      <w:r w:rsidR="00942F38">
        <w:rPr>
          <w:rFonts w:cs="Arial"/>
          <w:szCs w:val="20"/>
        </w:rPr>
        <w:t>(viz Příloha č. 6 tabulkové části dokumentace k zákonu o státním rozpočtu ČR na rok 2020</w:t>
      </w:r>
      <w:r w:rsidR="00234B21">
        <w:rPr>
          <w:rFonts w:cs="Arial"/>
          <w:szCs w:val="20"/>
        </w:rPr>
        <w:t xml:space="preserve"> – sešit G</w:t>
      </w:r>
      <w:r w:rsidR="00942F38">
        <w:rPr>
          <w:rFonts w:cs="Arial"/>
          <w:szCs w:val="20"/>
        </w:rPr>
        <w:t>). Jedná se o následující programy:</w:t>
      </w:r>
    </w:p>
    <w:p w:rsidR="00942F38" w:rsidRPr="004B63EE" w:rsidRDefault="00942F38" w:rsidP="0013623A">
      <w:pPr>
        <w:tabs>
          <w:tab w:val="left" w:pos="9000"/>
        </w:tabs>
        <w:spacing w:before="240" w:after="120"/>
        <w:ind w:right="68"/>
        <w:jc w:val="both"/>
        <w:rPr>
          <w:rFonts w:cs="Arial"/>
          <w:b/>
          <w:szCs w:val="20"/>
        </w:rPr>
      </w:pPr>
      <w:r w:rsidRPr="00BC15AA">
        <w:rPr>
          <w:rFonts w:cs="Arial"/>
          <w:b/>
          <w:szCs w:val="20"/>
        </w:rPr>
        <w:t>Prog</w:t>
      </w:r>
      <w:r w:rsidRPr="004B63EE">
        <w:rPr>
          <w:rFonts w:cs="Arial"/>
          <w:b/>
          <w:szCs w:val="20"/>
        </w:rPr>
        <w:t>ram 298 21 – Podpora rozvoje a obnovy materiálně technické základny regionálního školství</w:t>
      </w:r>
      <w:r w:rsidRPr="004B63EE">
        <w:rPr>
          <w:rFonts w:cs="Arial"/>
          <w:szCs w:val="20"/>
        </w:rPr>
        <w:t xml:space="preserve"> </w:t>
      </w:r>
      <w:r w:rsidRPr="004B63EE">
        <w:rPr>
          <w:rFonts w:cs="Arial"/>
          <w:b/>
          <w:szCs w:val="20"/>
        </w:rPr>
        <w:t>(438 751 tis. Kč)</w:t>
      </w:r>
    </w:p>
    <w:p w:rsidR="00BE4F83" w:rsidRPr="004B63EE" w:rsidRDefault="00BE4F83" w:rsidP="00BE4F83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eastAsia="SymbolMT"/>
        </w:rPr>
      </w:pPr>
      <w:r w:rsidRPr="004B63EE">
        <w:rPr>
          <w:rFonts w:cs="Arial"/>
          <w:szCs w:val="20"/>
        </w:rPr>
        <w:t xml:space="preserve">Částka je </w:t>
      </w:r>
      <w:r w:rsidR="00F92FF4" w:rsidRPr="004B63EE">
        <w:rPr>
          <w:rFonts w:cs="Arial"/>
          <w:szCs w:val="20"/>
        </w:rPr>
        <w:t>vyčleněn</w:t>
      </w:r>
      <w:r w:rsidR="002E3D34" w:rsidRPr="004B63EE">
        <w:rPr>
          <w:rFonts w:cs="Arial"/>
          <w:szCs w:val="20"/>
        </w:rPr>
        <w:t>a</w:t>
      </w:r>
      <w:r w:rsidR="00F92FF4" w:rsidRPr="004B63EE">
        <w:rPr>
          <w:rFonts w:cs="Arial"/>
          <w:szCs w:val="20"/>
        </w:rPr>
        <w:t xml:space="preserve"> v podprogramu 298213 - Podpora rozvoje a obnovy materiálně technické základny regionálních škol v okolí velkých měst. Cílem podprogramu je navýšit kapacity základních devítiletých škol v působnosti a v majetku obcí. Jedná se o pomoc obcím postižený</w:t>
      </w:r>
      <w:r w:rsidR="000B1A6A" w:rsidRPr="004B63EE">
        <w:rPr>
          <w:rFonts w:cs="Arial"/>
          <w:szCs w:val="20"/>
        </w:rPr>
        <w:t>m</w:t>
      </w:r>
      <w:r w:rsidR="00F92FF4" w:rsidRPr="004B63EE">
        <w:rPr>
          <w:rFonts w:cs="Arial"/>
          <w:szCs w:val="20"/>
        </w:rPr>
        <w:t xml:space="preserve"> rezidenční suburbanizací. Tento podprogram existuje od</w:t>
      </w:r>
      <w:r w:rsidR="00EB61ED">
        <w:rPr>
          <w:rFonts w:cs="Arial"/>
          <w:szCs w:val="20"/>
        </w:rPr>
        <w:t> </w:t>
      </w:r>
      <w:r w:rsidR="00F92FF4" w:rsidRPr="004B63EE">
        <w:rPr>
          <w:rFonts w:cs="Arial"/>
          <w:szCs w:val="20"/>
        </w:rPr>
        <w:t>roku 2014</w:t>
      </w:r>
      <w:r w:rsidR="008623E8" w:rsidRPr="004B63EE">
        <w:rPr>
          <w:rFonts w:cs="Arial"/>
          <w:szCs w:val="20"/>
        </w:rPr>
        <w:t xml:space="preserve"> (Ministerstvo financí v tomto smyslu pravidelně vyhlašuje výzvy)</w:t>
      </w:r>
      <w:r w:rsidR="00F92FF4" w:rsidRPr="004B63EE">
        <w:rPr>
          <w:rFonts w:cs="Arial"/>
          <w:szCs w:val="20"/>
        </w:rPr>
        <w:t xml:space="preserve">. </w:t>
      </w:r>
    </w:p>
    <w:p w:rsidR="00284291" w:rsidRPr="004B63EE" w:rsidRDefault="0014396A" w:rsidP="00BE4F83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eastAsia="SymbolMT"/>
        </w:rPr>
      </w:pPr>
      <w:r w:rsidRPr="004B63EE">
        <w:rPr>
          <w:rFonts w:cs="Arial"/>
          <w:szCs w:val="20"/>
        </w:rPr>
        <w:t xml:space="preserve">Protože do konce roku 2020 by mělo </w:t>
      </w:r>
      <w:r w:rsidR="00BE4F83" w:rsidRPr="004B63EE">
        <w:rPr>
          <w:rFonts w:cs="Arial"/>
          <w:szCs w:val="20"/>
        </w:rPr>
        <w:t>být ukončeno financování rozestavěných akcí, rozpočtovaná částka zahrnuje finanční prostředky pouze na akce, které byly zařazeny k financování na základě vyhlášených výzev v předchozích letech.</w:t>
      </w:r>
    </w:p>
    <w:p w:rsidR="00BE4F83" w:rsidRPr="004B63EE" w:rsidRDefault="00BE4F83" w:rsidP="0013623A">
      <w:pPr>
        <w:tabs>
          <w:tab w:val="left" w:pos="9000"/>
        </w:tabs>
        <w:spacing w:before="240" w:after="120"/>
        <w:ind w:right="68"/>
        <w:jc w:val="both"/>
        <w:rPr>
          <w:rFonts w:cs="Arial"/>
          <w:b/>
          <w:szCs w:val="20"/>
        </w:rPr>
      </w:pPr>
      <w:r w:rsidRPr="004B63EE">
        <w:rPr>
          <w:rFonts w:cs="Arial"/>
          <w:szCs w:val="20"/>
        </w:rPr>
        <w:t>P</w:t>
      </w:r>
      <w:r w:rsidRPr="004B63EE">
        <w:rPr>
          <w:rFonts w:cs="Arial"/>
          <w:b/>
          <w:szCs w:val="20"/>
        </w:rPr>
        <w:t>rogram 298 22 – Akce financované z rozhodnutí Poslanecké sněmovny parlamentu ČR a Vlády ČR (</w:t>
      </w:r>
      <w:r w:rsidR="00BC15AA">
        <w:rPr>
          <w:rFonts w:cs="Arial"/>
          <w:b/>
          <w:szCs w:val="20"/>
        </w:rPr>
        <w:t>6</w:t>
      </w:r>
      <w:r w:rsidRPr="004B63EE">
        <w:rPr>
          <w:rFonts w:cs="Arial"/>
          <w:b/>
          <w:szCs w:val="20"/>
        </w:rPr>
        <w:t>40 900 tis. Kč)</w:t>
      </w:r>
    </w:p>
    <w:p w:rsidR="00BC15AA" w:rsidRDefault="00660824" w:rsidP="00BE4F83">
      <w:pPr>
        <w:numPr>
          <w:ilvl w:val="0"/>
          <w:numId w:val="30"/>
        </w:numPr>
        <w:spacing w:before="120" w:after="120"/>
        <w:jc w:val="both"/>
        <w:rPr>
          <w:iCs/>
        </w:rPr>
      </w:pPr>
      <w:r>
        <w:rPr>
          <w:iCs/>
        </w:rPr>
        <w:t>P</w:t>
      </w:r>
      <w:r w:rsidR="00BC15AA">
        <w:rPr>
          <w:iCs/>
        </w:rPr>
        <w:t xml:space="preserve">rogram byl v rámci 3. </w:t>
      </w:r>
      <w:r w:rsidR="000F34DF">
        <w:rPr>
          <w:iCs/>
        </w:rPr>
        <w:t>č</w:t>
      </w:r>
      <w:r w:rsidR="00BC15AA">
        <w:rPr>
          <w:iCs/>
        </w:rPr>
        <w:t xml:space="preserve">tení návrhu státního rozpočtu na rok 2020 </w:t>
      </w:r>
      <w:r w:rsidR="000F34DF">
        <w:rPr>
          <w:iCs/>
        </w:rPr>
        <w:t xml:space="preserve">v Poslanecké sněmovně </w:t>
      </w:r>
      <w:r>
        <w:rPr>
          <w:iCs/>
        </w:rPr>
        <w:t>posílen</w:t>
      </w:r>
      <w:r w:rsidR="00BC15AA">
        <w:rPr>
          <w:iCs/>
        </w:rPr>
        <w:t xml:space="preserve"> o částku </w:t>
      </w:r>
      <w:r w:rsidR="00BC15AA" w:rsidRPr="0065508C">
        <w:rPr>
          <w:b/>
          <w:iCs/>
        </w:rPr>
        <w:t>600 000 tis. Kč</w:t>
      </w:r>
      <w:r w:rsidR="000F34DF">
        <w:rPr>
          <w:iCs/>
        </w:rPr>
        <w:t xml:space="preserve">. Jedná se o prostředky, které </w:t>
      </w:r>
      <w:r w:rsidR="00A25DD8">
        <w:t xml:space="preserve">budou směrovány na investice ve školství </w:t>
      </w:r>
      <w:r w:rsidR="00D36982">
        <w:t xml:space="preserve">v působnosti obcí </w:t>
      </w:r>
      <w:r w:rsidR="00A25DD8">
        <w:t>a nájemním bydlení.</w:t>
      </w:r>
      <w:r w:rsidR="00D75D22">
        <w:t xml:space="preserve"> </w:t>
      </w:r>
    </w:p>
    <w:p w:rsidR="005F5F7D" w:rsidRPr="004B63EE" w:rsidRDefault="00D75D22" w:rsidP="00BE4F83">
      <w:pPr>
        <w:numPr>
          <w:ilvl w:val="0"/>
          <w:numId w:val="30"/>
        </w:numPr>
        <w:spacing w:before="120" w:after="120"/>
        <w:jc w:val="both"/>
        <w:rPr>
          <w:iCs/>
        </w:rPr>
      </w:pPr>
      <w:r>
        <w:rPr>
          <w:iCs/>
        </w:rPr>
        <w:t xml:space="preserve">V programu jsou dále zahrnuty </w:t>
      </w:r>
      <w:r w:rsidR="00BE4F83" w:rsidRPr="004B63EE">
        <w:rPr>
          <w:iCs/>
        </w:rPr>
        <w:t>prostředky dané usnesení</w:t>
      </w:r>
      <w:r w:rsidR="006C5EED">
        <w:rPr>
          <w:iCs/>
        </w:rPr>
        <w:t>m</w:t>
      </w:r>
      <w:r w:rsidR="00BE4F83" w:rsidRPr="004B63EE">
        <w:rPr>
          <w:iCs/>
        </w:rPr>
        <w:t xml:space="preserve"> vlády č. 469/2017 na financování projektů dotčených obcí souvisejících s rozšířením strategické průmyslové zóny Solnice – Kvasiny.</w:t>
      </w:r>
    </w:p>
    <w:p w:rsidR="009D716C" w:rsidRPr="004B63EE" w:rsidRDefault="009D716C" w:rsidP="0013623A">
      <w:pPr>
        <w:tabs>
          <w:tab w:val="left" w:pos="9000"/>
        </w:tabs>
        <w:spacing w:before="240" w:after="120"/>
        <w:ind w:right="68"/>
        <w:jc w:val="both"/>
        <w:rPr>
          <w:rFonts w:cs="Arial"/>
          <w:b/>
          <w:szCs w:val="20"/>
        </w:rPr>
      </w:pPr>
      <w:r w:rsidRPr="004B63EE">
        <w:rPr>
          <w:rFonts w:cs="Arial"/>
          <w:szCs w:val="20"/>
        </w:rPr>
        <w:t>P</w:t>
      </w:r>
      <w:r w:rsidRPr="004B63EE">
        <w:rPr>
          <w:rFonts w:cs="Arial"/>
          <w:b/>
          <w:szCs w:val="20"/>
        </w:rPr>
        <w:t>rogram 298 23 – Podpora rozvoje a obnovy obecní infrastruktury a občanské vybavenosti (100 000 tis. Kč)</w:t>
      </w:r>
    </w:p>
    <w:p w:rsidR="00BE4F83" w:rsidRDefault="009D716C" w:rsidP="009D716C">
      <w:pPr>
        <w:numPr>
          <w:ilvl w:val="0"/>
          <w:numId w:val="30"/>
        </w:numPr>
        <w:spacing w:before="120" w:after="120"/>
        <w:jc w:val="both"/>
        <w:rPr>
          <w:iCs/>
        </w:rPr>
      </w:pPr>
      <w:r w:rsidRPr="004B63EE">
        <w:rPr>
          <w:iCs/>
        </w:rPr>
        <w:t>Jedná se o nový program, který je připraven s cílem podpořit rozvoj obecního majetku. Cílem je poskytnutí státní podpory na obnovu, modernizaci či budování technické a</w:t>
      </w:r>
      <w:r w:rsidR="00EB61ED">
        <w:rPr>
          <w:iCs/>
        </w:rPr>
        <w:t> </w:t>
      </w:r>
      <w:r w:rsidRPr="004B63EE">
        <w:rPr>
          <w:iCs/>
        </w:rPr>
        <w:t>občanské vybavenosti obcí a měst v celé České republice, prioritně na odstraňování havarijních stavů a podporu malých obcí.</w:t>
      </w:r>
    </w:p>
    <w:p w:rsidR="009D716C" w:rsidRDefault="009D716C" w:rsidP="009D716C">
      <w:pPr>
        <w:numPr>
          <w:ilvl w:val="0"/>
          <w:numId w:val="30"/>
        </w:numPr>
        <w:spacing w:before="120" w:after="120"/>
        <w:jc w:val="both"/>
        <w:rPr>
          <w:iCs/>
        </w:rPr>
      </w:pPr>
      <w:r w:rsidRPr="004B63EE">
        <w:rPr>
          <w:iCs/>
        </w:rPr>
        <w:lastRenderedPageBreak/>
        <w:t>Prostředky jsou výhradně v souladu s charakterem kapitoly Všeobecná pokladní správa určeny na pokrytí oblastí, které nelze hradit z jiných národních dotačních titulů, vč. EU tak, aby se zamezilo vzniku duplicit</w:t>
      </w:r>
      <w:r w:rsidR="00602E8D" w:rsidRPr="004B63EE">
        <w:rPr>
          <w:iCs/>
        </w:rPr>
        <w:t xml:space="preserve"> v podporovaných oblastech nebo pro které nebyly v daném období vyhlášeny dotační tituly</w:t>
      </w:r>
      <w:r w:rsidRPr="004B63EE">
        <w:rPr>
          <w:iCs/>
        </w:rPr>
        <w:t xml:space="preserve">. </w:t>
      </w:r>
    </w:p>
    <w:p w:rsidR="0057098E" w:rsidRDefault="0057098E" w:rsidP="0057098E">
      <w:pPr>
        <w:spacing w:before="120" w:after="120"/>
        <w:ind w:left="720"/>
        <w:jc w:val="both"/>
        <w:rPr>
          <w:iCs/>
        </w:rPr>
      </w:pPr>
    </w:p>
    <w:p w:rsidR="0009536A" w:rsidRPr="00066800" w:rsidRDefault="0009536A" w:rsidP="003944D1">
      <w:pPr>
        <w:pStyle w:val="Zkladntext"/>
        <w:spacing w:before="240" w:line="240" w:lineRule="auto"/>
        <w:rPr>
          <w:b/>
          <w:bCs/>
          <w:iCs/>
        </w:rPr>
      </w:pPr>
      <w:r w:rsidRPr="00066800">
        <w:rPr>
          <w:b/>
          <w:bCs/>
          <w:iCs/>
        </w:rPr>
        <w:t>Ad C) Dotace poskytované z ostatních kapitol státního rozpočtu</w:t>
      </w:r>
    </w:p>
    <w:p w:rsidR="00B07DC6" w:rsidRPr="004D0996" w:rsidRDefault="00B07DC6" w:rsidP="003944D1">
      <w:pPr>
        <w:jc w:val="both"/>
        <w:rPr>
          <w:iCs/>
        </w:rPr>
      </w:pPr>
      <w:r w:rsidRPr="00FC6122">
        <w:rPr>
          <w:iCs/>
        </w:rPr>
        <w:t>Dotace pro obce a hl. m. Prahu z ostatních kapitol státního rozpočtu jsou rozpočtovány v</w:t>
      </w:r>
      <w:r w:rsidR="002E3D34">
        <w:rPr>
          <w:iCs/>
        </w:rPr>
        <w:t> </w:t>
      </w:r>
      <w:r w:rsidRPr="00FC6122">
        <w:rPr>
          <w:iCs/>
        </w:rPr>
        <w:t>celkové</w:t>
      </w:r>
      <w:r w:rsidR="002E3D34">
        <w:rPr>
          <w:iCs/>
        </w:rPr>
        <w:t xml:space="preserve"> výši</w:t>
      </w:r>
      <w:r w:rsidRPr="00FC6122">
        <w:rPr>
          <w:iCs/>
        </w:rPr>
        <w:t xml:space="preserve"> </w:t>
      </w:r>
      <w:r w:rsidR="002D3C36">
        <w:rPr>
          <w:b/>
          <w:iCs/>
        </w:rPr>
        <w:t>30 270 560</w:t>
      </w:r>
      <w:r w:rsidRPr="002A3BA1">
        <w:rPr>
          <w:b/>
          <w:iCs/>
        </w:rPr>
        <w:t xml:space="preserve"> tis. Kč</w:t>
      </w:r>
      <w:r w:rsidRPr="00FC6122">
        <w:rPr>
          <w:iCs/>
        </w:rPr>
        <w:t xml:space="preserve">. Nejvyšší </w:t>
      </w:r>
      <w:r w:rsidR="002E3D34">
        <w:rPr>
          <w:iCs/>
        </w:rPr>
        <w:t xml:space="preserve">částka </w:t>
      </w:r>
      <w:r w:rsidRPr="00FC6122">
        <w:rPr>
          <w:iCs/>
        </w:rPr>
        <w:t>dotací je rozpočtován</w:t>
      </w:r>
      <w:r w:rsidR="002E3D34">
        <w:rPr>
          <w:iCs/>
        </w:rPr>
        <w:t>a</w:t>
      </w:r>
      <w:r w:rsidRPr="00FC6122">
        <w:rPr>
          <w:iCs/>
        </w:rPr>
        <w:t xml:space="preserve"> v kapitole Ministerstva školství, mládeže a tělovýchovy. Zde jsou rozpočtovány dotace v předpokládané výši </w:t>
      </w:r>
      <w:r w:rsidR="000509E4">
        <w:rPr>
          <w:b/>
          <w:iCs/>
        </w:rPr>
        <w:t>22 161 298</w:t>
      </w:r>
      <w:r w:rsidRPr="009C61FA">
        <w:rPr>
          <w:b/>
          <w:iCs/>
        </w:rPr>
        <w:t xml:space="preserve"> tis. Kč</w:t>
      </w:r>
      <w:r w:rsidRPr="00EC5237">
        <w:rPr>
          <w:iCs/>
        </w:rPr>
        <w:t xml:space="preserve">. Jedná se zejména o dotace na přímé náklady na vzdělávání poskytované hl. m. Praze. Z kapitoly Ministerstva práce a sociálních věcí jsou rozpočtované prostředky v navrhované výši </w:t>
      </w:r>
      <w:r w:rsidR="00914CCB">
        <w:rPr>
          <w:b/>
          <w:iCs/>
        </w:rPr>
        <w:t>3</w:t>
      </w:r>
      <w:r w:rsidR="002D3C36">
        <w:rPr>
          <w:b/>
          <w:iCs/>
        </w:rPr>
        <w:t> 233 937</w:t>
      </w:r>
      <w:r w:rsidRPr="009C61FA">
        <w:rPr>
          <w:b/>
          <w:iCs/>
        </w:rPr>
        <w:t> tis. Kč</w:t>
      </w:r>
      <w:r w:rsidRPr="00EC5237">
        <w:rPr>
          <w:iCs/>
        </w:rPr>
        <w:t>.</w:t>
      </w:r>
      <w:r w:rsidRPr="004D0996">
        <w:rPr>
          <w:iCs/>
        </w:rPr>
        <w:t xml:space="preserve"> </w:t>
      </w:r>
    </w:p>
    <w:p w:rsidR="003745CE" w:rsidRPr="003745CE" w:rsidRDefault="003745CE" w:rsidP="00365AAC">
      <w:pPr>
        <w:pStyle w:val="Zkladntext"/>
        <w:spacing w:before="240" w:line="240" w:lineRule="auto"/>
        <w:rPr>
          <w:b/>
          <w:bCs/>
          <w:iCs/>
          <w:sz w:val="2"/>
          <w:szCs w:val="2"/>
        </w:rPr>
      </w:pPr>
    </w:p>
    <w:p w:rsidR="0057098E" w:rsidRDefault="0057098E" w:rsidP="003944D1">
      <w:pPr>
        <w:pStyle w:val="Zkladntext"/>
        <w:spacing w:line="240" w:lineRule="auto"/>
        <w:rPr>
          <w:b/>
          <w:bCs/>
          <w:iCs/>
        </w:rPr>
      </w:pPr>
    </w:p>
    <w:p w:rsidR="00A11559" w:rsidRPr="00365AAC" w:rsidRDefault="00A11559" w:rsidP="003944D1">
      <w:pPr>
        <w:pStyle w:val="Zkladntext"/>
        <w:spacing w:line="240" w:lineRule="auto"/>
        <w:rPr>
          <w:b/>
          <w:bCs/>
          <w:iCs/>
        </w:rPr>
      </w:pPr>
      <w:r w:rsidRPr="00365AAC">
        <w:rPr>
          <w:b/>
          <w:bCs/>
          <w:iCs/>
        </w:rPr>
        <w:t xml:space="preserve">Dotace ze státního rozpočtu pro dobrovolné svazky obcí </w:t>
      </w:r>
    </w:p>
    <w:p w:rsidR="00B07DC6" w:rsidRPr="001E2B6D" w:rsidRDefault="00B07DC6" w:rsidP="00365AAC">
      <w:pPr>
        <w:spacing w:before="120" w:after="120"/>
        <w:jc w:val="both"/>
        <w:rPr>
          <w:iCs/>
        </w:rPr>
      </w:pPr>
      <w:r w:rsidRPr="001E2B6D">
        <w:rPr>
          <w:iCs/>
        </w:rPr>
        <w:t>Ve státním rozpočtu nejsou rozpočtovány téměř žádné dotace pro </w:t>
      </w:r>
      <w:r w:rsidR="00416272">
        <w:rPr>
          <w:iCs/>
        </w:rPr>
        <w:t>dobrovolné svazky obcí (DSO)</w:t>
      </w:r>
      <w:r w:rsidRPr="001E2B6D">
        <w:rPr>
          <w:iCs/>
        </w:rPr>
        <w:t xml:space="preserve">. Tato skutečnost je způsobena tím, že neexistuje dotační titul, který by byl určen výhradně pro </w:t>
      </w:r>
      <w:r w:rsidR="00416272">
        <w:rPr>
          <w:iCs/>
        </w:rPr>
        <w:t>DSO</w:t>
      </w:r>
      <w:r w:rsidRPr="001E2B6D">
        <w:rPr>
          <w:iCs/>
        </w:rPr>
        <w:t xml:space="preserve">. Jako o dotacích pro </w:t>
      </w:r>
      <w:r>
        <w:rPr>
          <w:iCs/>
        </w:rPr>
        <w:t>DSO</w:t>
      </w:r>
      <w:r w:rsidRPr="001E2B6D">
        <w:rPr>
          <w:iCs/>
        </w:rPr>
        <w:t xml:space="preserve"> je o nich obvykle účtováno až v průběhu rozpočtového roku při jejich uvolňování.</w:t>
      </w:r>
    </w:p>
    <w:p w:rsidR="00B07DC6" w:rsidRPr="00C612B0" w:rsidRDefault="00B07DC6" w:rsidP="00365AAC">
      <w:pPr>
        <w:spacing w:before="120" w:after="120"/>
        <w:jc w:val="both"/>
        <w:rPr>
          <w:vertAlign w:val="subscript"/>
        </w:rPr>
      </w:pPr>
      <w:r w:rsidRPr="001E2B6D">
        <w:rPr>
          <w:iCs/>
        </w:rPr>
        <w:t xml:space="preserve">V roce </w:t>
      </w:r>
      <w:r w:rsidR="004B2213">
        <w:rPr>
          <w:iCs/>
        </w:rPr>
        <w:t>20</w:t>
      </w:r>
      <w:r w:rsidR="00BB1D85">
        <w:rPr>
          <w:iCs/>
        </w:rPr>
        <w:t>20</w:t>
      </w:r>
      <w:r w:rsidRPr="001E2B6D">
        <w:rPr>
          <w:iCs/>
        </w:rPr>
        <w:t xml:space="preserve"> bude </w:t>
      </w:r>
      <w:r>
        <w:rPr>
          <w:iCs/>
        </w:rPr>
        <w:t xml:space="preserve">DSO </w:t>
      </w:r>
      <w:r w:rsidRPr="001E2B6D">
        <w:rPr>
          <w:iCs/>
        </w:rPr>
        <w:t>tak jako doposud uvolněn</w:t>
      </w:r>
      <w:r w:rsidR="006E198B">
        <w:rPr>
          <w:iCs/>
        </w:rPr>
        <w:t xml:space="preserve">a dotace </w:t>
      </w:r>
      <w:r w:rsidRPr="001E2B6D">
        <w:rPr>
          <w:iCs/>
        </w:rPr>
        <w:t>na žáka</w:t>
      </w:r>
      <w:r>
        <w:rPr>
          <w:rStyle w:val="Znakapoznpodarou"/>
          <w:iCs/>
        </w:rPr>
        <w:footnoteReference w:id="1"/>
      </w:r>
      <w:r w:rsidRPr="001E2B6D">
        <w:rPr>
          <w:iCs/>
        </w:rPr>
        <w:t xml:space="preserve"> ze státního rozpočtu </w:t>
      </w:r>
      <w:r w:rsidR="0057267E">
        <w:rPr>
          <w:iCs/>
        </w:rPr>
        <w:t>formou</w:t>
      </w:r>
      <w:r w:rsidRPr="001E2B6D">
        <w:rPr>
          <w:iCs/>
        </w:rPr>
        <w:t xml:space="preserve"> účelové dotace na zák</w:t>
      </w:r>
      <w:r w:rsidR="00F8683B">
        <w:rPr>
          <w:iCs/>
        </w:rPr>
        <w:t>ladě žádosti DSO</w:t>
      </w:r>
      <w:r w:rsidR="00416272">
        <w:rPr>
          <w:iCs/>
        </w:rPr>
        <w:t xml:space="preserve"> </w:t>
      </w:r>
      <w:r w:rsidRPr="001E2B6D">
        <w:rPr>
          <w:iCs/>
        </w:rPr>
        <w:t xml:space="preserve">z kapitoly Všeobecná pokladní správa, </w:t>
      </w:r>
      <w:r>
        <w:rPr>
          <w:iCs/>
        </w:rPr>
        <w:t>ukazatel</w:t>
      </w:r>
      <w:r w:rsidR="00F8683B">
        <w:rPr>
          <w:iCs/>
        </w:rPr>
        <w:t>e</w:t>
      </w:r>
      <w:r w:rsidRPr="001E2B6D">
        <w:rPr>
          <w:iCs/>
        </w:rPr>
        <w:t xml:space="preserve"> „Další prostředky pro řešení aktuálních problémů ÚSC“. Výše příspěvku na žáka v případě školského zařízení zřizovaného </w:t>
      </w:r>
      <w:r>
        <w:rPr>
          <w:iCs/>
        </w:rPr>
        <w:t>DSO</w:t>
      </w:r>
      <w:r w:rsidRPr="001E2B6D">
        <w:rPr>
          <w:iCs/>
        </w:rPr>
        <w:t xml:space="preserve"> bude i v roce </w:t>
      </w:r>
      <w:r w:rsidR="004B2213">
        <w:rPr>
          <w:iCs/>
        </w:rPr>
        <w:t>20</w:t>
      </w:r>
      <w:r w:rsidR="00BB1D85">
        <w:rPr>
          <w:iCs/>
        </w:rPr>
        <w:t>20</w:t>
      </w:r>
      <w:r w:rsidRPr="001E2B6D">
        <w:rPr>
          <w:iCs/>
        </w:rPr>
        <w:t xml:space="preserve"> stanovena tak, aby korespondovala s výší prostředků na jednoho žáka v systému rozpočtového určení daní pro obce. Hlavním východiskem pro určení výše příspěvku na žáka navštěvujícího školské zařízení zřizované </w:t>
      </w:r>
      <w:r>
        <w:rPr>
          <w:iCs/>
        </w:rPr>
        <w:t>DSO</w:t>
      </w:r>
      <w:r w:rsidRPr="001E2B6D">
        <w:rPr>
          <w:iCs/>
        </w:rPr>
        <w:t xml:space="preserve"> bude daňová predikce použitá pro sestavení státního rozpočtu na rok </w:t>
      </w:r>
      <w:r w:rsidR="004B2213">
        <w:rPr>
          <w:iCs/>
        </w:rPr>
        <w:t>20</w:t>
      </w:r>
      <w:r w:rsidR="00BB1D85">
        <w:rPr>
          <w:iCs/>
        </w:rPr>
        <w:t>20</w:t>
      </w:r>
      <w:r w:rsidRPr="001E2B6D">
        <w:rPr>
          <w:iCs/>
        </w:rPr>
        <w:t xml:space="preserve"> a počty dětí a žáků k 30. 9. </w:t>
      </w:r>
      <w:r w:rsidR="004B2213">
        <w:rPr>
          <w:iCs/>
        </w:rPr>
        <w:t>201</w:t>
      </w:r>
      <w:r w:rsidR="00BB1D85">
        <w:rPr>
          <w:iCs/>
        </w:rPr>
        <w:t>9</w:t>
      </w:r>
      <w:r w:rsidRPr="009827DB">
        <w:rPr>
          <w:rStyle w:val="Znakapoznpodarou"/>
        </w:rPr>
        <w:footnoteReference w:id="2"/>
      </w:r>
      <w:r w:rsidR="00C612B0">
        <w:rPr>
          <w:rStyle w:val="Znakapoznpodarou"/>
        </w:rPr>
        <w:t xml:space="preserve"> </w:t>
      </w:r>
      <w:r w:rsidR="00C612B0">
        <w:rPr>
          <w:vertAlign w:val="subscript"/>
        </w:rPr>
        <w:t>.</w:t>
      </w:r>
    </w:p>
    <w:p w:rsidR="00135DBB" w:rsidRDefault="00BE0BD4" w:rsidP="00B72214">
      <w:pPr>
        <w:pStyle w:val="Zkladntextodsazen3"/>
        <w:spacing w:before="120" w:after="120" w:line="240" w:lineRule="auto"/>
        <w:ind w:firstLine="0"/>
      </w:pPr>
      <w:r>
        <w:br w:type="page"/>
      </w:r>
    </w:p>
    <w:p w:rsidR="0077471B" w:rsidRPr="003120E8" w:rsidRDefault="0077471B" w:rsidP="0077471B">
      <w:pPr>
        <w:pStyle w:val="Nadpis1"/>
        <w:pBdr>
          <w:top w:val="single" w:sz="4" w:space="0" w:color="auto"/>
        </w:pBdr>
        <w:tabs>
          <w:tab w:val="left" w:pos="851"/>
        </w:tabs>
      </w:pPr>
      <w:r>
        <w:t xml:space="preserve">II. </w:t>
      </w:r>
      <w:r w:rsidRPr="003120E8">
        <w:t xml:space="preserve">Daňové příjmy obcí v roce </w:t>
      </w:r>
      <w:r w:rsidR="004B2213">
        <w:t>20</w:t>
      </w:r>
      <w:r w:rsidR="00B072BF">
        <w:t>20</w:t>
      </w:r>
      <w:r w:rsidRPr="003120E8">
        <w:t xml:space="preserve"> a jejich alokace do území</w:t>
      </w:r>
    </w:p>
    <w:p w:rsidR="0077471B" w:rsidRDefault="0077471B" w:rsidP="0077471B">
      <w:pPr>
        <w:pStyle w:val="Nzev"/>
        <w:spacing w:before="240" w:after="12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Pr="00234B21">
        <w:rPr>
          <w:b w:val="0"/>
          <w:bCs w:val="0"/>
          <w:sz w:val="24"/>
          <w:szCs w:val="24"/>
        </w:rPr>
        <w:t>Ing. Lucie Maříková, tel. 25704</w:t>
      </w:r>
      <w:r w:rsidR="00FD2039" w:rsidRPr="00234B21">
        <w:rPr>
          <w:b w:val="0"/>
          <w:bCs w:val="0"/>
          <w:sz w:val="24"/>
          <w:szCs w:val="24"/>
        </w:rPr>
        <w:t xml:space="preserve"> 2</w:t>
      </w:r>
      <w:r w:rsidRPr="00234B21">
        <w:rPr>
          <w:b w:val="0"/>
          <w:bCs w:val="0"/>
          <w:sz w:val="24"/>
          <w:szCs w:val="24"/>
        </w:rPr>
        <w:t>591</w:t>
      </w:r>
    </w:p>
    <w:p w:rsidR="00427BFC" w:rsidRDefault="007606CF" w:rsidP="0077471B">
      <w:pPr>
        <w:pStyle w:val="BodyText2"/>
        <w:spacing w:line="240" w:lineRule="auto"/>
        <w:ind w:right="112" w:firstLine="0"/>
      </w:pPr>
      <w:r w:rsidRPr="00416ED0">
        <w:t>Predikci výnosů vybraných daňových př</w:t>
      </w:r>
      <w:r>
        <w:t>íjmů veřejných rozpočtů a podíl obcí</w:t>
      </w:r>
      <w:r w:rsidRPr="00416ED0">
        <w:t xml:space="preserve"> </w:t>
      </w:r>
      <w:r>
        <w:br/>
      </w:r>
      <w:r w:rsidRPr="00416ED0">
        <w:t>na těchto daních uvádí následující tabulka:</w:t>
      </w:r>
    </w:p>
    <w:p w:rsidR="007606CF" w:rsidRDefault="007606CF" w:rsidP="00B41ABE">
      <w:pPr>
        <w:pStyle w:val="BodyText2"/>
        <w:spacing w:before="0" w:after="0" w:line="240" w:lineRule="auto"/>
        <w:ind w:right="113" w:firstLine="0"/>
      </w:pPr>
    </w:p>
    <w:tbl>
      <w:tblPr>
        <w:tblW w:w="9195" w:type="dxa"/>
        <w:tblLayout w:type="fixed"/>
        <w:tblCellMar>
          <w:left w:w="0" w:type="dxa"/>
          <w:right w:w="284" w:type="dxa"/>
        </w:tblCellMar>
        <w:tblLook w:val="0000" w:firstRow="0" w:lastRow="0" w:firstColumn="0" w:lastColumn="0" w:noHBand="0" w:noVBand="0"/>
      </w:tblPr>
      <w:tblGrid>
        <w:gridCol w:w="555"/>
        <w:gridCol w:w="5580"/>
        <w:gridCol w:w="1440"/>
        <w:gridCol w:w="1620"/>
      </w:tblGrid>
      <w:tr w:rsidR="002D49A7" w:rsidRPr="00671D89" w:rsidTr="00D2670D">
        <w:trPr>
          <w:cantSplit/>
          <w:trHeight w:val="255"/>
        </w:trPr>
        <w:tc>
          <w:tcPr>
            <w:tcW w:w="6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9A7" w:rsidRPr="00BD4469" w:rsidRDefault="002D49A7" w:rsidP="0066748A">
            <w:pPr>
              <w:pStyle w:val="Nadpis6"/>
              <w:jc w:val="center"/>
              <w:rPr>
                <w:rFonts w:ascii="Times New Roman" w:eastAsia="Arial Unicode MS" w:hAnsi="Times New Roman"/>
              </w:rPr>
            </w:pPr>
            <w:r w:rsidRPr="00BD4469">
              <w:rPr>
                <w:rFonts w:ascii="Times New Roman" w:hAnsi="Times New Roman"/>
              </w:rPr>
              <w:t>Daňový příjem</w:t>
            </w:r>
            <w:r w:rsidR="00BD4469" w:rsidRPr="00BD4469">
              <w:rPr>
                <w:rFonts w:ascii="Times New Roman" w:hAnsi="Times New Roman"/>
              </w:rPr>
              <w:t xml:space="preserve"> (v mld. Kč)*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9A7" w:rsidRPr="00671D89" w:rsidRDefault="002D49A7" w:rsidP="00B072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71D89">
              <w:rPr>
                <w:b/>
                <w:bCs/>
                <w:sz w:val="20"/>
                <w:szCs w:val="20"/>
              </w:rPr>
              <w:t xml:space="preserve">Predikce </w:t>
            </w:r>
            <w:r w:rsidR="004B2213">
              <w:rPr>
                <w:b/>
                <w:bCs/>
                <w:sz w:val="20"/>
                <w:szCs w:val="20"/>
              </w:rPr>
              <w:t>20</w:t>
            </w:r>
            <w:r w:rsidR="00B072BF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2D49A7" w:rsidRPr="00671D89" w:rsidTr="00D2670D">
        <w:trPr>
          <w:cantSplit/>
          <w:trHeight w:val="255"/>
        </w:trPr>
        <w:tc>
          <w:tcPr>
            <w:tcW w:w="6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A7" w:rsidRPr="00671D89" w:rsidRDefault="002D49A7" w:rsidP="00D267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9A7" w:rsidRPr="00671D89" w:rsidRDefault="002D49A7" w:rsidP="00D267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71D89">
              <w:rPr>
                <w:b/>
                <w:bCs/>
                <w:sz w:val="20"/>
                <w:szCs w:val="20"/>
              </w:rPr>
              <w:t>VR celkem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9A7" w:rsidRPr="00671D89" w:rsidRDefault="002D49A7" w:rsidP="0011667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71D89">
              <w:rPr>
                <w:b/>
                <w:bCs/>
                <w:sz w:val="20"/>
                <w:szCs w:val="20"/>
              </w:rPr>
              <w:t>z toho podíl obcí</w:t>
            </w:r>
          </w:p>
        </w:tc>
      </w:tr>
      <w:tr w:rsidR="002D49A7" w:rsidRPr="00671D89" w:rsidTr="00D2670D">
        <w:trPr>
          <w:trHeight w:hRule="exact" w:val="340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D2670D">
            <w:pPr>
              <w:pStyle w:val="Nadpis5"/>
              <w:rPr>
                <w:rFonts w:eastAsia="Arial Unicode MS"/>
              </w:rPr>
            </w:pPr>
            <w:r w:rsidRPr="00671D89">
              <w:t>Daň z přidané hodnoty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020CDB" w:rsidP="00D2670D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473,6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bottom"/>
          </w:tcPr>
          <w:p w:rsidR="002D49A7" w:rsidRPr="00671D89" w:rsidRDefault="001E224A" w:rsidP="00AA1CEE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111,7</w:t>
            </w:r>
          </w:p>
        </w:tc>
      </w:tr>
      <w:tr w:rsidR="002D49A7" w:rsidRPr="00671D89" w:rsidTr="00D2670D">
        <w:trPr>
          <w:trHeight w:hRule="exact" w:val="34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D2670D">
            <w:pPr>
              <w:ind w:left="113"/>
              <w:rPr>
                <w:rFonts w:eastAsia="Arial Unicode MS"/>
                <w:b/>
                <w:bCs/>
                <w:sz w:val="20"/>
                <w:szCs w:val="20"/>
              </w:rPr>
            </w:pPr>
            <w:r w:rsidRPr="00671D89">
              <w:rPr>
                <w:b/>
                <w:bCs/>
                <w:sz w:val="20"/>
                <w:szCs w:val="20"/>
              </w:rPr>
              <w:t>Daň z příjmů právnických osob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020CDB" w:rsidP="004D3D96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196,7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bottom"/>
          </w:tcPr>
          <w:p w:rsidR="002D49A7" w:rsidRPr="00671D89" w:rsidRDefault="001E224A" w:rsidP="00422387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51,8</w:t>
            </w:r>
          </w:p>
        </w:tc>
      </w:tr>
      <w:tr w:rsidR="002D49A7" w:rsidRPr="00671D89" w:rsidTr="00D2670D">
        <w:trPr>
          <w:trHeight w:hRule="exact" w:val="34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D2670D">
            <w:pPr>
              <w:pStyle w:val="Nadpis5"/>
              <w:tabs>
                <w:tab w:val="left" w:pos="720"/>
              </w:tabs>
              <w:rPr>
                <w:rFonts w:eastAsia="Arial Unicode MS"/>
                <w:b w:val="0"/>
                <w:bCs w:val="0"/>
              </w:rPr>
            </w:pPr>
            <w:r w:rsidRPr="00671D89">
              <w:rPr>
                <w:b w:val="0"/>
                <w:bCs w:val="0"/>
              </w:rPr>
              <w:t>v tom: daň z příjmů právnických osob</w:t>
            </w:r>
            <w:r w:rsidR="00A82AB2" w:rsidRPr="00671D89">
              <w:rPr>
                <w:b w:val="0"/>
                <w:bCs w:val="0"/>
              </w:rPr>
              <w:t xml:space="preserve"> – sdílená část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020CDB" w:rsidP="001D0CBE">
            <w:pPr>
              <w:ind w:right="227"/>
              <w:jc w:val="right"/>
              <w:rPr>
                <w:spacing w:val="18"/>
                <w:sz w:val="20"/>
              </w:rPr>
            </w:pPr>
            <w:r>
              <w:rPr>
                <w:spacing w:val="18"/>
                <w:sz w:val="20"/>
              </w:rPr>
              <w:t>189,1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bottom"/>
          </w:tcPr>
          <w:p w:rsidR="002D49A7" w:rsidRPr="00671D89" w:rsidRDefault="001E224A" w:rsidP="0055712B">
            <w:pPr>
              <w:ind w:right="227"/>
              <w:jc w:val="right"/>
              <w:rPr>
                <w:spacing w:val="18"/>
                <w:sz w:val="20"/>
              </w:rPr>
            </w:pPr>
            <w:r>
              <w:rPr>
                <w:spacing w:val="18"/>
                <w:sz w:val="20"/>
              </w:rPr>
              <w:t>44,6</w:t>
            </w:r>
          </w:p>
        </w:tc>
      </w:tr>
      <w:tr w:rsidR="002D49A7" w:rsidRPr="00671D89" w:rsidTr="00D2670D">
        <w:trPr>
          <w:trHeight w:hRule="exact" w:val="34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D2670D">
            <w:pPr>
              <w:ind w:left="113"/>
              <w:rPr>
                <w:rFonts w:eastAsia="Arial Unicode MS"/>
                <w:b/>
                <w:bCs/>
                <w:sz w:val="20"/>
                <w:szCs w:val="20"/>
              </w:rPr>
            </w:pPr>
            <w:r w:rsidRPr="00671D89">
              <w:rPr>
                <w:b/>
                <w:bCs/>
                <w:sz w:val="20"/>
                <w:szCs w:val="20"/>
              </w:rPr>
              <w:t>Daň z příjmů fyzických osob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020CDB" w:rsidP="004D3D96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263,4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bottom"/>
          </w:tcPr>
          <w:p w:rsidR="002D49A7" w:rsidRPr="00671D89" w:rsidRDefault="001E224A" w:rsidP="00D2670D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64,8</w:t>
            </w:r>
          </w:p>
        </w:tc>
      </w:tr>
      <w:tr w:rsidR="002D49A7" w:rsidRPr="00671D89" w:rsidTr="00D2670D">
        <w:trPr>
          <w:trHeight w:hRule="exact" w:val="34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D2670D">
            <w:pPr>
              <w:ind w:left="113"/>
              <w:rPr>
                <w:rFonts w:eastAsia="Arial Unicode MS"/>
                <w:sz w:val="20"/>
                <w:szCs w:val="20"/>
              </w:rPr>
            </w:pPr>
            <w:r w:rsidRPr="00671D89">
              <w:rPr>
                <w:sz w:val="20"/>
                <w:szCs w:val="20"/>
              </w:rPr>
              <w:t xml:space="preserve">v tom: </w:t>
            </w:r>
            <w:r w:rsidRPr="00671D89">
              <w:rPr>
                <w:b/>
                <w:sz w:val="20"/>
                <w:szCs w:val="20"/>
              </w:rPr>
              <w:t>daň z příjmů fyzických osob vybíraná zvl. sazbou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020CDB" w:rsidP="00D2670D">
            <w:pPr>
              <w:ind w:right="227"/>
              <w:jc w:val="right"/>
              <w:rPr>
                <w:rFonts w:eastAsia="Arial Unicode MS"/>
                <w:b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spacing w:val="18"/>
                <w:sz w:val="20"/>
                <w:szCs w:val="20"/>
              </w:rPr>
              <w:t>20,4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bottom"/>
          </w:tcPr>
          <w:p w:rsidR="002D49A7" w:rsidRPr="00671D89" w:rsidRDefault="001E224A" w:rsidP="004D3D96">
            <w:pPr>
              <w:ind w:right="227"/>
              <w:jc w:val="right"/>
              <w:rPr>
                <w:rFonts w:eastAsia="Arial Unicode MS"/>
                <w:b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spacing w:val="18"/>
                <w:sz w:val="20"/>
                <w:szCs w:val="20"/>
              </w:rPr>
              <w:t>4,8</w:t>
            </w:r>
          </w:p>
        </w:tc>
      </w:tr>
      <w:tr w:rsidR="002D49A7" w:rsidRPr="00671D89" w:rsidTr="00D2670D">
        <w:trPr>
          <w:trHeight w:hRule="exact"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D2670D">
            <w:pPr>
              <w:ind w:left="113"/>
              <w:rPr>
                <w:rFonts w:eastAsia="Arial Unicode MS"/>
                <w:sz w:val="20"/>
                <w:szCs w:val="20"/>
              </w:rPr>
            </w:pPr>
            <w:r w:rsidRPr="00671D89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66748A">
            <w:pPr>
              <w:ind w:left="113"/>
              <w:rPr>
                <w:rFonts w:eastAsia="Arial Unicode MS"/>
                <w:b/>
                <w:bCs/>
                <w:sz w:val="20"/>
                <w:szCs w:val="20"/>
              </w:rPr>
            </w:pPr>
            <w:r w:rsidRPr="00671D89">
              <w:rPr>
                <w:b/>
                <w:bCs/>
                <w:sz w:val="20"/>
                <w:szCs w:val="20"/>
              </w:rPr>
              <w:t xml:space="preserve">daň z příjmů fyzických osob </w:t>
            </w:r>
            <w:r w:rsidR="0066748A">
              <w:rPr>
                <w:b/>
                <w:bCs/>
                <w:sz w:val="20"/>
                <w:szCs w:val="20"/>
              </w:rPr>
              <w:t>placená poplatníky (</w:t>
            </w:r>
            <w:r w:rsidRPr="00671D89">
              <w:rPr>
                <w:b/>
                <w:bCs/>
                <w:sz w:val="20"/>
                <w:szCs w:val="20"/>
              </w:rPr>
              <w:t>z přiznání</w:t>
            </w:r>
            <w:r w:rsidR="0066748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020CDB" w:rsidP="00D2670D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bottom"/>
          </w:tcPr>
          <w:p w:rsidR="002D49A7" w:rsidRPr="00671D89" w:rsidRDefault="001E224A" w:rsidP="009B067D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1,1</w:t>
            </w:r>
          </w:p>
        </w:tc>
      </w:tr>
      <w:tr w:rsidR="002D49A7" w:rsidRPr="00671D89" w:rsidTr="00D2670D">
        <w:trPr>
          <w:trHeight w:hRule="exact"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D2670D">
            <w:pPr>
              <w:ind w:left="113"/>
              <w:rPr>
                <w:rFonts w:eastAsia="Arial Unicode MS"/>
                <w:sz w:val="20"/>
                <w:szCs w:val="20"/>
              </w:rPr>
            </w:pPr>
            <w:r w:rsidRPr="00671D89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66748A">
            <w:pPr>
              <w:ind w:left="113"/>
              <w:rPr>
                <w:rFonts w:eastAsia="Arial Unicode MS"/>
                <w:b/>
                <w:bCs/>
                <w:sz w:val="20"/>
                <w:szCs w:val="20"/>
              </w:rPr>
            </w:pPr>
            <w:r w:rsidRPr="00671D89">
              <w:rPr>
                <w:b/>
                <w:bCs/>
                <w:sz w:val="20"/>
                <w:szCs w:val="20"/>
              </w:rPr>
              <w:t xml:space="preserve">daň z příjmů fyzických osob </w:t>
            </w:r>
            <w:r w:rsidR="0066748A">
              <w:rPr>
                <w:b/>
                <w:bCs/>
                <w:sz w:val="20"/>
                <w:szCs w:val="20"/>
              </w:rPr>
              <w:t>placená plátci (</w:t>
            </w:r>
            <w:r w:rsidRPr="00671D89">
              <w:rPr>
                <w:b/>
                <w:bCs/>
                <w:sz w:val="20"/>
                <w:szCs w:val="20"/>
              </w:rPr>
              <w:t>závisl</w:t>
            </w:r>
            <w:r w:rsidR="0066748A">
              <w:rPr>
                <w:b/>
                <w:bCs/>
                <w:sz w:val="20"/>
                <w:szCs w:val="20"/>
              </w:rPr>
              <w:t>á) celkem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020CDB" w:rsidP="00D2670D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235,0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bottom"/>
          </w:tcPr>
          <w:p w:rsidR="002D49A7" w:rsidRPr="00671D89" w:rsidRDefault="001E224A" w:rsidP="00D2670D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58,9</w:t>
            </w:r>
          </w:p>
        </w:tc>
      </w:tr>
      <w:tr w:rsidR="002D49A7" w:rsidRPr="00671D89" w:rsidTr="00D2670D">
        <w:trPr>
          <w:trHeight w:hRule="exact" w:val="3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D2670D">
            <w:pPr>
              <w:ind w:left="113"/>
              <w:rPr>
                <w:rFonts w:eastAsia="Arial Unicode MS"/>
                <w:sz w:val="20"/>
                <w:szCs w:val="20"/>
              </w:rPr>
            </w:pPr>
            <w:r w:rsidRPr="00671D89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66748A">
            <w:pPr>
              <w:ind w:left="113"/>
              <w:rPr>
                <w:rFonts w:eastAsia="Arial Unicode MS"/>
                <w:sz w:val="20"/>
                <w:szCs w:val="20"/>
              </w:rPr>
            </w:pPr>
            <w:r w:rsidRPr="00671D89">
              <w:rPr>
                <w:sz w:val="20"/>
                <w:szCs w:val="20"/>
              </w:rPr>
              <w:t>daň z příjmů fyzických osob</w:t>
            </w:r>
            <w:r w:rsidR="0066748A">
              <w:rPr>
                <w:sz w:val="20"/>
                <w:szCs w:val="20"/>
              </w:rPr>
              <w:t xml:space="preserve"> placená plátci (</w:t>
            </w:r>
            <w:r w:rsidRPr="00671D89">
              <w:rPr>
                <w:sz w:val="20"/>
                <w:szCs w:val="20"/>
              </w:rPr>
              <w:t>závisl</w:t>
            </w:r>
            <w:r w:rsidR="0066748A">
              <w:rPr>
                <w:sz w:val="20"/>
                <w:szCs w:val="20"/>
              </w:rPr>
              <w:t>á)</w:t>
            </w:r>
            <w:r w:rsidRPr="00671D89">
              <w:rPr>
                <w:sz w:val="20"/>
                <w:szCs w:val="20"/>
              </w:rPr>
              <w:t xml:space="preserve"> - sdílená část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020CDB" w:rsidP="00D2670D">
            <w:pPr>
              <w:ind w:right="227"/>
              <w:jc w:val="right"/>
              <w:rPr>
                <w:rFonts w:eastAsia="Arial Unicode MS"/>
                <w:spacing w:val="18"/>
                <w:sz w:val="20"/>
                <w:szCs w:val="20"/>
              </w:rPr>
            </w:pPr>
            <w:r>
              <w:rPr>
                <w:rFonts w:eastAsia="Arial Unicode MS"/>
                <w:spacing w:val="18"/>
                <w:sz w:val="20"/>
                <w:szCs w:val="20"/>
              </w:rPr>
              <w:t>231,5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bottom"/>
          </w:tcPr>
          <w:p w:rsidR="002D49A7" w:rsidRPr="00671D89" w:rsidRDefault="001E224A" w:rsidP="001E224A">
            <w:pPr>
              <w:ind w:right="227"/>
              <w:jc w:val="right"/>
              <w:rPr>
                <w:rFonts w:eastAsia="Arial Unicode MS"/>
                <w:spacing w:val="18"/>
                <w:sz w:val="20"/>
                <w:szCs w:val="20"/>
              </w:rPr>
            </w:pPr>
            <w:r>
              <w:rPr>
                <w:rFonts w:eastAsia="Arial Unicode MS"/>
                <w:spacing w:val="18"/>
                <w:sz w:val="20"/>
                <w:szCs w:val="20"/>
              </w:rPr>
              <w:t>55,4</w:t>
            </w:r>
          </w:p>
        </w:tc>
      </w:tr>
      <w:tr w:rsidR="002D49A7" w:rsidRPr="00671D89" w:rsidTr="0066748A">
        <w:trPr>
          <w:trHeight w:hRule="exact" w:val="50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D2670D">
            <w:pPr>
              <w:ind w:left="113"/>
              <w:rPr>
                <w:rFonts w:eastAsia="Arial Unicode MS"/>
                <w:sz w:val="20"/>
                <w:szCs w:val="20"/>
              </w:rPr>
            </w:pPr>
            <w:r w:rsidRPr="00671D89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2D49A7" w:rsidP="0066748A">
            <w:pPr>
              <w:ind w:left="113"/>
              <w:rPr>
                <w:rFonts w:eastAsia="Arial Unicode MS"/>
                <w:sz w:val="20"/>
                <w:szCs w:val="20"/>
              </w:rPr>
            </w:pPr>
            <w:r w:rsidRPr="00671D89">
              <w:rPr>
                <w:sz w:val="20"/>
                <w:szCs w:val="20"/>
              </w:rPr>
              <w:t xml:space="preserve">daň z příjmů fyzických osob </w:t>
            </w:r>
            <w:r w:rsidR="0066748A">
              <w:rPr>
                <w:sz w:val="20"/>
                <w:szCs w:val="20"/>
              </w:rPr>
              <w:t xml:space="preserve">placená plátci (závislá) </w:t>
            </w:r>
            <w:r w:rsidRPr="00671D89">
              <w:rPr>
                <w:sz w:val="20"/>
                <w:szCs w:val="20"/>
              </w:rPr>
              <w:t>- 1,5 % motivace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49A7" w:rsidRPr="00671D89" w:rsidRDefault="00C917B5" w:rsidP="00020CDB">
            <w:pPr>
              <w:ind w:right="227"/>
              <w:jc w:val="right"/>
              <w:rPr>
                <w:rFonts w:eastAsia="Arial Unicode MS"/>
                <w:spacing w:val="18"/>
                <w:sz w:val="20"/>
                <w:szCs w:val="20"/>
              </w:rPr>
            </w:pPr>
            <w:r>
              <w:rPr>
                <w:rFonts w:eastAsia="Arial Unicode MS"/>
                <w:spacing w:val="18"/>
                <w:sz w:val="20"/>
                <w:szCs w:val="20"/>
              </w:rPr>
              <w:t>3,</w:t>
            </w:r>
            <w:r w:rsidR="00020CDB">
              <w:rPr>
                <w:rFonts w:eastAsia="Arial Unicode MS"/>
                <w:spacing w:val="18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bottom"/>
          </w:tcPr>
          <w:p w:rsidR="002D49A7" w:rsidRPr="00671D89" w:rsidRDefault="003B4B09" w:rsidP="001E224A">
            <w:pPr>
              <w:ind w:right="227"/>
              <w:jc w:val="right"/>
              <w:rPr>
                <w:rFonts w:eastAsia="Arial Unicode MS"/>
                <w:spacing w:val="18"/>
                <w:sz w:val="20"/>
                <w:szCs w:val="20"/>
              </w:rPr>
            </w:pPr>
            <w:r>
              <w:rPr>
                <w:rFonts w:eastAsia="Arial Unicode MS"/>
                <w:spacing w:val="18"/>
                <w:sz w:val="20"/>
                <w:szCs w:val="20"/>
              </w:rPr>
              <w:t>3,</w:t>
            </w:r>
            <w:r w:rsidR="001E224A">
              <w:rPr>
                <w:rFonts w:eastAsia="Arial Unicode MS"/>
                <w:spacing w:val="18"/>
                <w:sz w:val="20"/>
                <w:szCs w:val="20"/>
              </w:rPr>
              <w:t>5</w:t>
            </w:r>
          </w:p>
        </w:tc>
      </w:tr>
      <w:tr w:rsidR="00BB2E40" w:rsidRPr="00671D89" w:rsidTr="004B5CD9">
        <w:trPr>
          <w:trHeight w:hRule="exact" w:val="34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2E40" w:rsidRPr="00671D89" w:rsidRDefault="00BB2E40" w:rsidP="00BB2E40">
            <w:pPr>
              <w:ind w:left="113"/>
              <w:rPr>
                <w:b/>
                <w:bCs/>
                <w:sz w:val="20"/>
                <w:szCs w:val="20"/>
              </w:rPr>
            </w:pPr>
            <w:r w:rsidRPr="00671D89">
              <w:rPr>
                <w:b/>
                <w:bCs/>
                <w:sz w:val="20"/>
                <w:szCs w:val="20"/>
              </w:rPr>
              <w:t>Daň z nemovitých věcí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2E40" w:rsidRPr="00671D89" w:rsidRDefault="00020CDB" w:rsidP="004D3D96">
            <w:pPr>
              <w:ind w:right="227"/>
              <w:jc w:val="right"/>
              <w:rPr>
                <w:rFonts w:eastAsia="Arial Unicode MS"/>
                <w:b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spacing w:val="18"/>
                <w:sz w:val="20"/>
                <w:szCs w:val="20"/>
              </w:rPr>
              <w:t>11,4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bottom"/>
          </w:tcPr>
          <w:p w:rsidR="00BB2E40" w:rsidRPr="00671D89" w:rsidRDefault="001E224A" w:rsidP="001D0CBE">
            <w:pPr>
              <w:ind w:right="227"/>
              <w:jc w:val="right"/>
              <w:rPr>
                <w:rFonts w:eastAsia="Arial Unicode MS"/>
                <w:b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spacing w:val="18"/>
                <w:sz w:val="20"/>
                <w:szCs w:val="20"/>
              </w:rPr>
              <w:t>11,4</w:t>
            </w:r>
          </w:p>
        </w:tc>
      </w:tr>
      <w:tr w:rsidR="002D49A7" w:rsidRPr="00416ED0" w:rsidTr="00D2670D">
        <w:trPr>
          <w:trHeight w:hRule="exact" w:val="516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9A7" w:rsidRPr="00671D89" w:rsidRDefault="002D49A7" w:rsidP="00D2670D">
            <w:pPr>
              <w:pStyle w:val="Nadpis5"/>
              <w:rPr>
                <w:rFonts w:eastAsia="Arial Unicode MS"/>
              </w:rPr>
            </w:pPr>
            <w:r w:rsidRPr="00671D89">
              <w:t xml:space="preserve">Celkem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9A7" w:rsidRPr="00671D89" w:rsidRDefault="00020CDB" w:rsidP="00BF0050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945,1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284" w:type="dxa"/>
            </w:tcMar>
            <w:vAlign w:val="center"/>
          </w:tcPr>
          <w:p w:rsidR="002D49A7" w:rsidRPr="00671D89" w:rsidRDefault="001E224A" w:rsidP="00422387">
            <w:pPr>
              <w:ind w:right="227"/>
              <w:jc w:val="right"/>
              <w:rPr>
                <w:rFonts w:eastAsia="Arial Unicode MS"/>
                <w:b/>
                <w:bCs/>
                <w:spacing w:val="1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pacing w:val="18"/>
                <w:sz w:val="20"/>
                <w:szCs w:val="20"/>
              </w:rPr>
              <w:t>239,7</w:t>
            </w:r>
          </w:p>
        </w:tc>
      </w:tr>
    </w:tbl>
    <w:p w:rsidR="00CB1CB0" w:rsidRDefault="00CB1CB0" w:rsidP="0077471B">
      <w:pPr>
        <w:pStyle w:val="Zkladntext3"/>
      </w:pPr>
    </w:p>
    <w:p w:rsidR="008872E9" w:rsidRDefault="008872E9" w:rsidP="008872E9">
      <w:pPr>
        <w:pStyle w:val="Zkladntext3"/>
      </w:pPr>
      <w:r w:rsidRPr="00167431">
        <w:t>*) Propočet podle § 4 zákona č. 243/2000 Sb., o rozpočtovém určení daní, vychází z </w:t>
      </w:r>
      <w:r w:rsidRPr="00151F83">
        <w:rPr>
          <w:b/>
        </w:rPr>
        <w:t xml:space="preserve">predikce celostátního </w:t>
      </w:r>
      <w:r w:rsidR="009736D6" w:rsidRPr="00151F83">
        <w:rPr>
          <w:b/>
        </w:rPr>
        <w:t xml:space="preserve">hrubého výnosu </w:t>
      </w:r>
      <w:r w:rsidRPr="00151F83">
        <w:rPr>
          <w:b/>
        </w:rPr>
        <w:t xml:space="preserve">daní použité </w:t>
      </w:r>
      <w:r w:rsidR="00D649C0" w:rsidRPr="00151F83">
        <w:rPr>
          <w:b/>
        </w:rPr>
        <w:t>v zákoně</w:t>
      </w:r>
      <w:r w:rsidRPr="00151F83">
        <w:rPr>
          <w:b/>
        </w:rPr>
        <w:t xml:space="preserve"> o státním rozpočtu </w:t>
      </w:r>
      <w:r w:rsidR="006A60CE" w:rsidRPr="00151F83">
        <w:rPr>
          <w:b/>
        </w:rPr>
        <w:t xml:space="preserve">České republiky </w:t>
      </w:r>
      <w:r w:rsidRPr="00151F83">
        <w:rPr>
          <w:b/>
        </w:rPr>
        <w:t xml:space="preserve">na rok </w:t>
      </w:r>
      <w:r w:rsidR="004B2213" w:rsidRPr="00151F83">
        <w:rPr>
          <w:b/>
        </w:rPr>
        <w:t>20</w:t>
      </w:r>
      <w:r w:rsidR="00B072BF">
        <w:rPr>
          <w:b/>
        </w:rPr>
        <w:t>20</w:t>
      </w:r>
      <w:r w:rsidR="009426FD" w:rsidRPr="00167431">
        <w:t>.</w:t>
      </w:r>
      <w:r w:rsidRPr="00167431">
        <w:t xml:space="preserve"> Vliv zpoždění při převodech daňových příjmů v závěru roku není zohledněn.</w:t>
      </w:r>
    </w:p>
    <w:p w:rsidR="00591FDE" w:rsidRDefault="00591FDE" w:rsidP="00444CD7">
      <w:pPr>
        <w:pStyle w:val="BodyText2"/>
        <w:spacing w:before="0" w:after="0" w:line="240" w:lineRule="auto"/>
        <w:ind w:right="113" w:firstLine="0"/>
      </w:pPr>
    </w:p>
    <w:p w:rsidR="008872E9" w:rsidRPr="00554AED" w:rsidRDefault="004C1B5E" w:rsidP="00444CD7">
      <w:pPr>
        <w:pStyle w:val="BodyText2"/>
        <w:spacing w:before="0" w:after="0" w:line="240" w:lineRule="auto"/>
        <w:ind w:right="113" w:firstLine="0"/>
      </w:pPr>
      <w:r w:rsidRPr="004C1B5E">
        <w:t xml:space="preserve">Podíl jednotlivých obcí na příslušné části celostátního hrubého výnosu daní je aktuálně stanoven </w:t>
      </w:r>
      <w:r w:rsidR="00C12DB9" w:rsidRPr="004C1B5E">
        <w:t>vyhlášk</w:t>
      </w:r>
      <w:r w:rsidRPr="004C1B5E">
        <w:t>ou</w:t>
      </w:r>
      <w:r w:rsidR="00C12DB9" w:rsidRPr="004C1B5E">
        <w:t xml:space="preserve"> Ministerstva financí </w:t>
      </w:r>
      <w:r w:rsidR="00C12DB9" w:rsidRPr="00020CDB">
        <w:t xml:space="preserve">č. </w:t>
      </w:r>
      <w:r w:rsidR="00CE40AE" w:rsidRPr="00020CDB">
        <w:t>219</w:t>
      </w:r>
      <w:r w:rsidR="00C12DB9" w:rsidRPr="00020CDB">
        <w:t>/201</w:t>
      </w:r>
      <w:r w:rsidR="00CE40AE" w:rsidRPr="00020CDB">
        <w:t>9</w:t>
      </w:r>
      <w:r w:rsidR="00C12DB9" w:rsidRPr="00020CDB">
        <w:t xml:space="preserve"> Sb., ze dne </w:t>
      </w:r>
      <w:r w:rsidR="00CE40AE" w:rsidRPr="00020CDB">
        <w:t>26</w:t>
      </w:r>
      <w:r w:rsidR="00C12DB9" w:rsidRPr="00020CDB">
        <w:t>. srpna 201</w:t>
      </w:r>
      <w:r w:rsidR="006B0A74">
        <w:t>9</w:t>
      </w:r>
      <w:r w:rsidR="00C12DB9" w:rsidRPr="00020CDB">
        <w:t>, o</w:t>
      </w:r>
      <w:r w:rsidR="00EB61ED">
        <w:t> </w:t>
      </w:r>
      <w:r w:rsidR="00C12DB9" w:rsidRPr="004C1B5E">
        <w:t xml:space="preserve">procentním podílu jednotlivých obcí na částech celostátního hrubého výnosu daně z přidané hodnoty a daní z příjmů. </w:t>
      </w:r>
      <w:r w:rsidR="000F51F2" w:rsidRPr="004C1B5E">
        <w:t>Zákla</w:t>
      </w:r>
      <w:r w:rsidR="008872E9" w:rsidRPr="004C1B5E">
        <w:t>dem pro stanovení procentního podílu každé obce na sdíl</w:t>
      </w:r>
      <w:r w:rsidR="008872E9" w:rsidRPr="004C1B5E">
        <w:t>e</w:t>
      </w:r>
      <w:r w:rsidR="008872E9" w:rsidRPr="004C1B5E">
        <w:t>ných daních je počet</w:t>
      </w:r>
      <w:r w:rsidR="008872E9" w:rsidRPr="00554AED">
        <w:t xml:space="preserve"> obyvatel obce k 1. lednu </w:t>
      </w:r>
      <w:r w:rsidR="004B2213" w:rsidRPr="00554AED">
        <w:t>201</w:t>
      </w:r>
      <w:r w:rsidR="00B072BF">
        <w:t>9</w:t>
      </w:r>
      <w:r w:rsidR="00BF58A8" w:rsidRPr="00554AED">
        <w:t xml:space="preserve"> </w:t>
      </w:r>
      <w:r w:rsidR="008872E9" w:rsidRPr="00554AED">
        <w:t>dle bilance obyvatel České republiky zpracované Českým statistickým</w:t>
      </w:r>
      <w:r w:rsidR="00591FDE" w:rsidRPr="00554AED">
        <w:t xml:space="preserve"> </w:t>
      </w:r>
      <w:r w:rsidR="008872E9" w:rsidRPr="00554AED">
        <w:t xml:space="preserve">úřadem, </w:t>
      </w:r>
      <w:r w:rsidR="00633ECC" w:rsidRPr="00554AED">
        <w:t xml:space="preserve">započtená </w:t>
      </w:r>
      <w:r w:rsidR="008872E9" w:rsidRPr="00554AED">
        <w:t xml:space="preserve">výměra katastrálních území obcí k 1. lednu </w:t>
      </w:r>
      <w:r w:rsidR="004B2213" w:rsidRPr="00554AED">
        <w:t>201</w:t>
      </w:r>
      <w:r w:rsidR="00AA53D6">
        <w:t>9</w:t>
      </w:r>
      <w:r w:rsidR="006414FA" w:rsidRPr="00554AED">
        <w:t xml:space="preserve"> </w:t>
      </w:r>
      <w:r w:rsidR="008872E9" w:rsidRPr="00554AED">
        <w:t>dle údajů Českého úřadu zeměměřického a</w:t>
      </w:r>
      <w:r w:rsidR="005C09E5" w:rsidRPr="00554AED">
        <w:t> </w:t>
      </w:r>
      <w:r w:rsidR="008872E9" w:rsidRPr="00554AED">
        <w:t>katastrálního, počty dětí a žáků k 30. září 201</w:t>
      </w:r>
      <w:r w:rsidR="00AA53D6">
        <w:t>8</w:t>
      </w:r>
      <w:r w:rsidR="00EA3AD6" w:rsidRPr="00554AED">
        <w:t xml:space="preserve"> </w:t>
      </w:r>
      <w:r w:rsidR="008872E9" w:rsidRPr="00554AED">
        <w:t>dle dokumentace škol vedené podle školského zákona a počty zaměstnanců k 1. prosinci 201</w:t>
      </w:r>
      <w:r w:rsidR="00AA53D6">
        <w:t>8</w:t>
      </w:r>
      <w:r w:rsidR="008872E9" w:rsidRPr="00554AED">
        <w:t>.</w:t>
      </w:r>
    </w:p>
    <w:p w:rsidR="008872E9" w:rsidRDefault="009A6D3C" w:rsidP="00444CD7">
      <w:pPr>
        <w:pStyle w:val="BodyText2"/>
        <w:spacing w:before="240" w:after="240" w:line="240" w:lineRule="auto"/>
        <w:ind w:right="113" w:firstLine="0"/>
      </w:pPr>
      <w:r>
        <w:t>Generální finanční ředitelství</w:t>
      </w:r>
      <w:r w:rsidR="008872E9">
        <w:t xml:space="preserve"> zasílá finančním úřadům informaci o stavu </w:t>
      </w:r>
      <w:r w:rsidR="009736D6">
        <w:t>celostátního hrubého výnosu</w:t>
      </w:r>
      <w:r w:rsidR="008872E9">
        <w:t xml:space="preserve"> vybraných daní dvakrát měsíčně, zpravidla dle stavu k </w:t>
      </w:r>
      <w:r w:rsidR="008872E9" w:rsidRPr="008872E9">
        <w:t>15. a poslednímu dni</w:t>
      </w:r>
      <w:r w:rsidR="008872E9">
        <w:t xml:space="preserve"> měsíce. Pokud v době od posledně provedených převodů došlo k</w:t>
      </w:r>
      <w:r w:rsidR="00F00918">
        <w:t> je</w:t>
      </w:r>
      <w:r w:rsidR="00DA1618">
        <w:t>ho</w:t>
      </w:r>
      <w:r w:rsidR="00F00918">
        <w:t xml:space="preserve"> </w:t>
      </w:r>
      <w:r w:rsidR="008872E9">
        <w:t xml:space="preserve">nárůstu, vypočtou se (dle pravidel daných zákonem č. 243/2000 Sb., o rozpočtovém určení daní) z přírůstků </w:t>
      </w:r>
      <w:r w:rsidR="00F00918">
        <w:t xml:space="preserve">celostátního hrubého výnosu </w:t>
      </w:r>
      <w:r w:rsidR="008872E9">
        <w:t>nároky jednotlivých obcí. Finanční úřady tyto údaje zpracují a</w:t>
      </w:r>
      <w:r w:rsidR="00C910E5">
        <w:t> </w:t>
      </w:r>
      <w:r w:rsidR="008872E9">
        <w:t>předají Č</w:t>
      </w:r>
      <w:r w:rsidR="00E3534D">
        <w:t>eské národní bance p</w:t>
      </w:r>
      <w:r w:rsidR="008872E9">
        <w:t xml:space="preserve">řevodní příkazy, na jejichž základě jsou jednotlivým obcím následně (cca 5. a 20. dne každého měsíce) zasílány podíly na celostátním </w:t>
      </w:r>
      <w:r w:rsidR="00F00918">
        <w:t>hrubém výnosu</w:t>
      </w:r>
      <w:r w:rsidR="008872E9">
        <w:t xml:space="preserve"> vybraných daní (</w:t>
      </w:r>
      <w:r w:rsidR="00A573E3">
        <w:rPr>
          <w:bCs/>
          <w:iCs/>
        </w:rPr>
        <w:t>pokud přesáhnou částku 500 Kč</w:t>
      </w:r>
      <w:r w:rsidR="008872E9">
        <w:rPr>
          <w:bCs/>
          <w:iCs/>
        </w:rPr>
        <w:t>).</w:t>
      </w:r>
      <w:r w:rsidR="008872E9">
        <w:t xml:space="preserve"> </w:t>
      </w:r>
    </w:p>
    <w:p w:rsidR="008872E9" w:rsidRDefault="008872E9" w:rsidP="00444CD7">
      <w:pPr>
        <w:pStyle w:val="BodyText2"/>
        <w:spacing w:before="240" w:after="240" w:line="240" w:lineRule="auto"/>
        <w:ind w:right="113" w:firstLine="0"/>
        <w:rPr>
          <w:bCs/>
          <w:iCs/>
        </w:rPr>
      </w:pPr>
      <w:r>
        <w:rPr>
          <w:spacing w:val="-2"/>
        </w:rPr>
        <w:t xml:space="preserve">V průběhu procedury převodů daňových příjmů vzniká určité zpoždění mezi stavem </w:t>
      </w:r>
      <w:r w:rsidR="00F00918">
        <w:rPr>
          <w:spacing w:val="-2"/>
        </w:rPr>
        <w:t>celostátního hrubého výnosu</w:t>
      </w:r>
      <w:r>
        <w:rPr>
          <w:spacing w:val="-2"/>
        </w:rPr>
        <w:t xml:space="preserve"> daní a dnem převodu podílů z něj vyplývajících. V důsledku </w:t>
      </w:r>
      <w:r>
        <w:rPr>
          <w:spacing w:val="-2"/>
        </w:rPr>
        <w:lastRenderedPageBreak/>
        <w:t xml:space="preserve">tohoto zpoždění jsou podíly na přírůstcích </w:t>
      </w:r>
      <w:r w:rsidR="009736D6">
        <w:rPr>
          <w:spacing w:val="-2"/>
        </w:rPr>
        <w:t>celostátního hrubého výnosu</w:t>
      </w:r>
      <w:r>
        <w:rPr>
          <w:spacing w:val="-2"/>
        </w:rPr>
        <w:t xml:space="preserve"> daní v závěru rozpočtového roku převedeny na účty obcí až v následujícím roce. Vzhledem k tomu, že tvorba rozpočtu spadá do oblasti samostatné působnosti územních samosprávných celků, je třeba, aby obce při sestavování rozpočtů braly v úvahu mimo jiné právě existenci zpoždění při převodech daňových příjmů.</w:t>
      </w:r>
    </w:p>
    <w:p w:rsidR="008872E9" w:rsidRDefault="00633ECC" w:rsidP="00444CD7">
      <w:pPr>
        <w:pStyle w:val="BodyText2"/>
        <w:spacing w:before="240" w:after="240" w:line="240" w:lineRule="auto"/>
        <w:ind w:right="113" w:firstLine="0"/>
        <w:rPr>
          <w:bCs/>
          <w:iCs/>
        </w:rPr>
      </w:pPr>
      <w:r>
        <w:rPr>
          <w:bCs/>
          <w:iCs/>
        </w:rPr>
        <w:t>V</w:t>
      </w:r>
      <w:r w:rsidR="008872E9">
        <w:rPr>
          <w:bCs/>
          <w:iCs/>
        </w:rPr>
        <w:t> zájmu správného zaúčtování na příslušné položky rozpočtové skladby uvádíme pře</w:t>
      </w:r>
      <w:r w:rsidR="00E3534D">
        <w:rPr>
          <w:bCs/>
          <w:iCs/>
        </w:rPr>
        <w:t>dčíslí pře</w:t>
      </w:r>
      <w:r w:rsidR="008872E9">
        <w:rPr>
          <w:bCs/>
          <w:iCs/>
        </w:rPr>
        <w:t xml:space="preserve">vodových </w:t>
      </w:r>
      <w:r w:rsidR="00E3534D">
        <w:rPr>
          <w:bCs/>
          <w:iCs/>
        </w:rPr>
        <w:t xml:space="preserve">bankovních </w:t>
      </w:r>
      <w:r w:rsidR="008872E9">
        <w:rPr>
          <w:bCs/>
          <w:iCs/>
        </w:rPr>
        <w:t xml:space="preserve">účtů </w:t>
      </w:r>
      <w:r w:rsidR="00E3534D">
        <w:rPr>
          <w:bCs/>
          <w:iCs/>
        </w:rPr>
        <w:t>finančních úřadů</w:t>
      </w:r>
      <w:r w:rsidR="008872E9">
        <w:rPr>
          <w:bCs/>
          <w:iCs/>
        </w:rPr>
        <w:t>, z nichž jsou obcím převáděny jejich pod</w:t>
      </w:r>
      <w:r w:rsidR="008872E9">
        <w:rPr>
          <w:bCs/>
          <w:iCs/>
        </w:rPr>
        <w:t>í</w:t>
      </w:r>
      <w:r w:rsidR="008872E9">
        <w:rPr>
          <w:bCs/>
          <w:iCs/>
        </w:rPr>
        <w:t xml:space="preserve">ly, a </w:t>
      </w:r>
      <w:r w:rsidR="00647896">
        <w:rPr>
          <w:bCs/>
          <w:iCs/>
        </w:rPr>
        <w:t xml:space="preserve">odpovídající </w:t>
      </w:r>
      <w:r w:rsidR="008872E9">
        <w:rPr>
          <w:bCs/>
          <w:iCs/>
        </w:rPr>
        <w:t>položk</w:t>
      </w:r>
      <w:r w:rsidR="00F53C48">
        <w:rPr>
          <w:bCs/>
          <w:iCs/>
        </w:rPr>
        <w:t>y</w:t>
      </w:r>
      <w:r w:rsidR="008872E9">
        <w:rPr>
          <w:bCs/>
          <w:iCs/>
        </w:rPr>
        <w:t xml:space="preserve"> rozpočtové skladby:</w:t>
      </w:r>
    </w:p>
    <w:p w:rsidR="00DB56A9" w:rsidRDefault="00DB56A9"/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5838"/>
        <w:gridCol w:w="1417"/>
        <w:gridCol w:w="1570"/>
      </w:tblGrid>
      <w:tr w:rsidR="00DB018E" w:rsidRPr="009736D6" w:rsidTr="00DB018E">
        <w:trPr>
          <w:cantSplit/>
          <w:trHeight w:val="426"/>
        </w:trPr>
        <w:tc>
          <w:tcPr>
            <w:tcW w:w="3362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AB2" w:rsidRPr="009736D6" w:rsidRDefault="00A82AB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736D6">
              <w:rPr>
                <w:b/>
                <w:sz w:val="20"/>
                <w:szCs w:val="20"/>
              </w:rPr>
              <w:t>Daňový příjem obcí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AB2" w:rsidRPr="009736D6" w:rsidRDefault="00A82AB2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736D6">
              <w:rPr>
                <w:b/>
                <w:bCs/>
                <w:sz w:val="20"/>
              </w:rPr>
              <w:t>PBÚ</w:t>
            </w:r>
          </w:p>
        </w:tc>
        <w:tc>
          <w:tcPr>
            <w:tcW w:w="86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AB2" w:rsidRPr="009736D6" w:rsidRDefault="00A82AB2">
            <w:pPr>
              <w:pStyle w:val="BodyText2"/>
              <w:spacing w:line="240" w:lineRule="auto"/>
              <w:ind w:right="113" w:firstLine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9736D6">
              <w:rPr>
                <w:rFonts w:eastAsia="Arial Unicode MS"/>
                <w:b/>
                <w:bCs/>
                <w:sz w:val="20"/>
              </w:rPr>
              <w:t>Pol. rozpočtové skladby</w:t>
            </w:r>
          </w:p>
        </w:tc>
      </w:tr>
      <w:tr w:rsidR="00DB018E" w:rsidRPr="009736D6" w:rsidTr="00DB018E">
        <w:trPr>
          <w:trHeight w:val="285"/>
        </w:trPr>
        <w:tc>
          <w:tcPr>
            <w:tcW w:w="3362" w:type="pct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pStyle w:val="Nadpis5"/>
            </w:pPr>
            <w:r w:rsidRPr="009736D6">
              <w:t>Daň z přidané hodnoty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ind w:right="-3"/>
              <w:jc w:val="center"/>
              <w:rPr>
                <w:b/>
                <w:bCs/>
                <w:spacing w:val="18"/>
                <w:sz w:val="20"/>
              </w:rPr>
            </w:pPr>
            <w:r w:rsidRPr="009736D6">
              <w:rPr>
                <w:b/>
                <w:bCs/>
                <w:spacing w:val="18"/>
                <w:sz w:val="20"/>
              </w:rPr>
              <w:t>1679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  <w:hideMark/>
          </w:tcPr>
          <w:p w:rsidR="00A82AB2" w:rsidRPr="009736D6" w:rsidRDefault="00A82AB2">
            <w:pPr>
              <w:ind w:right="227"/>
              <w:jc w:val="right"/>
              <w:rPr>
                <w:b/>
                <w:bCs/>
                <w:spacing w:val="18"/>
                <w:sz w:val="20"/>
              </w:rPr>
            </w:pPr>
            <w:r w:rsidRPr="009736D6">
              <w:rPr>
                <w:b/>
                <w:bCs/>
                <w:spacing w:val="18"/>
                <w:sz w:val="20"/>
              </w:rPr>
              <w:t>1211</w:t>
            </w:r>
          </w:p>
        </w:tc>
      </w:tr>
      <w:tr w:rsidR="00DB018E" w:rsidRPr="009736D6" w:rsidTr="00DB018E">
        <w:trPr>
          <w:trHeight w:val="285"/>
        </w:trPr>
        <w:tc>
          <w:tcPr>
            <w:tcW w:w="3362" w:type="pct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pStyle w:val="Nadpis5"/>
            </w:pPr>
            <w:r w:rsidRPr="009736D6">
              <w:t>Daň z příjmů právnických osob</w:t>
            </w: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ind w:right="-3"/>
              <w:jc w:val="center"/>
              <w:rPr>
                <w:b/>
                <w:bCs/>
                <w:spacing w:val="18"/>
                <w:sz w:val="20"/>
              </w:rPr>
            </w:pPr>
            <w:r w:rsidRPr="009736D6">
              <w:rPr>
                <w:b/>
                <w:bCs/>
                <w:spacing w:val="18"/>
                <w:sz w:val="20"/>
              </w:rPr>
              <w:t>641</w:t>
            </w:r>
          </w:p>
        </w:tc>
        <w:tc>
          <w:tcPr>
            <w:tcW w:w="861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  <w:hideMark/>
          </w:tcPr>
          <w:p w:rsidR="00A82AB2" w:rsidRPr="009736D6" w:rsidRDefault="00A82AB2">
            <w:pPr>
              <w:ind w:right="227"/>
              <w:jc w:val="right"/>
              <w:rPr>
                <w:b/>
                <w:bCs/>
                <w:spacing w:val="18"/>
                <w:sz w:val="20"/>
              </w:rPr>
            </w:pPr>
            <w:r w:rsidRPr="009736D6">
              <w:rPr>
                <w:b/>
                <w:bCs/>
                <w:spacing w:val="18"/>
                <w:sz w:val="20"/>
              </w:rPr>
              <w:t>1121</w:t>
            </w:r>
          </w:p>
        </w:tc>
      </w:tr>
      <w:tr w:rsidR="00DB018E" w:rsidRPr="009736D6" w:rsidTr="00DB018E">
        <w:trPr>
          <w:trHeight w:val="285"/>
        </w:trPr>
        <w:tc>
          <w:tcPr>
            <w:tcW w:w="3362" w:type="pct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pStyle w:val="Nadpis5"/>
              <w:rPr>
                <w:rFonts w:eastAsia="Arial Unicode MS"/>
              </w:rPr>
            </w:pPr>
            <w:r w:rsidRPr="009736D6">
              <w:t>Daň z příjmů fyzických osob</w:t>
            </w: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AB2" w:rsidRPr="009736D6" w:rsidRDefault="00A82AB2">
            <w:pPr>
              <w:ind w:right="-3"/>
              <w:jc w:val="center"/>
              <w:rPr>
                <w:b/>
                <w:bCs/>
                <w:spacing w:val="18"/>
                <w:sz w:val="20"/>
              </w:rPr>
            </w:pPr>
          </w:p>
        </w:tc>
        <w:tc>
          <w:tcPr>
            <w:tcW w:w="861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</w:tcPr>
          <w:p w:rsidR="00A82AB2" w:rsidRPr="009736D6" w:rsidRDefault="00A82AB2">
            <w:pPr>
              <w:ind w:right="227"/>
              <w:jc w:val="right"/>
              <w:rPr>
                <w:b/>
                <w:bCs/>
                <w:spacing w:val="18"/>
                <w:sz w:val="20"/>
              </w:rPr>
            </w:pPr>
          </w:p>
        </w:tc>
      </w:tr>
      <w:tr w:rsidR="00DB018E" w:rsidRPr="009736D6" w:rsidTr="00DB018E">
        <w:trPr>
          <w:trHeight w:val="285"/>
        </w:trPr>
        <w:tc>
          <w:tcPr>
            <w:tcW w:w="3362" w:type="pct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9B08FE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v tom: </w:t>
            </w:r>
            <w:r w:rsidR="00A82AB2" w:rsidRPr="009736D6">
              <w:rPr>
                <w:sz w:val="20"/>
              </w:rPr>
              <w:t xml:space="preserve"> </w:t>
            </w:r>
            <w:r w:rsidR="00A82AB2" w:rsidRPr="009736D6">
              <w:rPr>
                <w:bCs/>
                <w:sz w:val="20"/>
              </w:rPr>
              <w:t>daň z příjmů fyzických osob vybíraná zvl. sazbou</w:t>
            </w: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ind w:right="-3"/>
              <w:jc w:val="center"/>
              <w:rPr>
                <w:b/>
                <w:bCs/>
                <w:spacing w:val="18"/>
                <w:sz w:val="20"/>
              </w:rPr>
            </w:pPr>
            <w:r w:rsidRPr="009736D6">
              <w:rPr>
                <w:b/>
                <w:bCs/>
                <w:spacing w:val="18"/>
                <w:sz w:val="20"/>
              </w:rPr>
              <w:t>1660</w:t>
            </w:r>
          </w:p>
        </w:tc>
        <w:tc>
          <w:tcPr>
            <w:tcW w:w="861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  <w:hideMark/>
          </w:tcPr>
          <w:p w:rsidR="00A82AB2" w:rsidRPr="009736D6" w:rsidRDefault="00A82AB2">
            <w:pPr>
              <w:ind w:right="227"/>
              <w:jc w:val="right"/>
              <w:rPr>
                <w:b/>
                <w:bCs/>
                <w:spacing w:val="18"/>
                <w:sz w:val="20"/>
              </w:rPr>
            </w:pPr>
            <w:r w:rsidRPr="009736D6">
              <w:rPr>
                <w:b/>
                <w:bCs/>
                <w:spacing w:val="18"/>
                <w:sz w:val="20"/>
              </w:rPr>
              <w:t>1113</w:t>
            </w:r>
          </w:p>
        </w:tc>
      </w:tr>
      <w:tr w:rsidR="00DB018E" w:rsidRPr="009736D6" w:rsidTr="00DB018E">
        <w:trPr>
          <w:trHeight w:val="285"/>
        </w:trPr>
        <w:tc>
          <w:tcPr>
            <w:tcW w:w="160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rPr>
                <w:rFonts w:eastAsia="Arial Unicode MS"/>
                <w:sz w:val="20"/>
              </w:rPr>
            </w:pPr>
            <w:r w:rsidRPr="009736D6">
              <w:rPr>
                <w:sz w:val="20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 w:rsidP="00DB018E">
            <w:pPr>
              <w:rPr>
                <w:rFonts w:eastAsia="Arial Unicode MS"/>
                <w:sz w:val="20"/>
              </w:rPr>
            </w:pPr>
            <w:r w:rsidRPr="009736D6">
              <w:rPr>
                <w:sz w:val="20"/>
              </w:rPr>
              <w:t xml:space="preserve">daň z příjmů fyzických osob </w:t>
            </w:r>
            <w:r w:rsidR="000D7323">
              <w:rPr>
                <w:sz w:val="20"/>
              </w:rPr>
              <w:t>placená poplatníky</w:t>
            </w:r>
            <w:r w:rsidR="00DB018E">
              <w:rPr>
                <w:sz w:val="20"/>
              </w:rPr>
              <w:t xml:space="preserve"> (z přiznání)</w:t>
            </w: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ind w:right="-3"/>
              <w:jc w:val="center"/>
              <w:rPr>
                <w:b/>
                <w:spacing w:val="18"/>
                <w:sz w:val="20"/>
              </w:rPr>
            </w:pPr>
            <w:r w:rsidRPr="009736D6">
              <w:rPr>
                <w:b/>
                <w:spacing w:val="18"/>
                <w:sz w:val="20"/>
              </w:rPr>
              <w:t>1652</w:t>
            </w:r>
          </w:p>
        </w:tc>
        <w:tc>
          <w:tcPr>
            <w:tcW w:w="861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  <w:hideMark/>
          </w:tcPr>
          <w:p w:rsidR="00A82AB2" w:rsidRPr="009736D6" w:rsidRDefault="00A82AB2">
            <w:pPr>
              <w:ind w:right="227"/>
              <w:jc w:val="right"/>
              <w:rPr>
                <w:b/>
                <w:spacing w:val="18"/>
                <w:sz w:val="20"/>
              </w:rPr>
            </w:pPr>
            <w:r w:rsidRPr="009736D6">
              <w:rPr>
                <w:b/>
                <w:spacing w:val="18"/>
                <w:sz w:val="20"/>
              </w:rPr>
              <w:t>1112</w:t>
            </w:r>
          </w:p>
        </w:tc>
      </w:tr>
      <w:tr w:rsidR="00DB018E" w:rsidRPr="009736D6" w:rsidTr="00DB018E">
        <w:trPr>
          <w:trHeight w:val="285"/>
        </w:trPr>
        <w:tc>
          <w:tcPr>
            <w:tcW w:w="160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rPr>
                <w:rFonts w:eastAsia="Arial Unicode MS"/>
                <w:sz w:val="20"/>
              </w:rPr>
            </w:pPr>
            <w:r w:rsidRPr="009736D6">
              <w:rPr>
                <w:sz w:val="20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 w:rsidP="00DB018E">
            <w:pPr>
              <w:pStyle w:val="Popisky"/>
              <w:rPr>
                <w:rFonts w:ascii="Times New Roman" w:eastAsia="Arial Unicode MS" w:hAnsi="Times New Roman" w:cs="Times New Roman"/>
              </w:rPr>
            </w:pPr>
            <w:r w:rsidRPr="009736D6">
              <w:rPr>
                <w:rFonts w:ascii="Times New Roman" w:hAnsi="Times New Roman" w:cs="Times New Roman"/>
              </w:rPr>
              <w:t xml:space="preserve">daň z příjmů fyzických osob </w:t>
            </w:r>
            <w:r w:rsidR="00DB018E">
              <w:rPr>
                <w:rFonts w:ascii="Times New Roman" w:hAnsi="Times New Roman" w:cs="Times New Roman"/>
              </w:rPr>
              <w:t>placená plátci (</w:t>
            </w:r>
            <w:r w:rsidRPr="009736D6">
              <w:rPr>
                <w:rFonts w:ascii="Times New Roman" w:hAnsi="Times New Roman" w:cs="Times New Roman"/>
              </w:rPr>
              <w:t>závisl</w:t>
            </w:r>
            <w:r w:rsidR="00DB018E">
              <w:rPr>
                <w:rFonts w:ascii="Times New Roman" w:hAnsi="Times New Roman" w:cs="Times New Roman"/>
              </w:rPr>
              <w:t>á</w:t>
            </w:r>
            <w:r w:rsidRPr="009736D6">
              <w:rPr>
                <w:rFonts w:ascii="Times New Roman" w:hAnsi="Times New Roman" w:cs="Times New Roman"/>
              </w:rPr>
              <w:t xml:space="preserve"> </w:t>
            </w:r>
            <w:r w:rsidR="00DB018E">
              <w:rPr>
                <w:rFonts w:ascii="Times New Roman" w:hAnsi="Times New Roman" w:cs="Times New Roman"/>
              </w:rPr>
              <w:t>–</w:t>
            </w:r>
            <w:r w:rsidRPr="009736D6">
              <w:rPr>
                <w:rFonts w:ascii="Times New Roman" w:hAnsi="Times New Roman" w:cs="Times New Roman"/>
              </w:rPr>
              <w:t xml:space="preserve"> sdílená</w:t>
            </w:r>
            <w:r w:rsidR="00DB01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ind w:right="-3"/>
              <w:jc w:val="center"/>
              <w:rPr>
                <w:b/>
                <w:spacing w:val="18"/>
                <w:sz w:val="20"/>
              </w:rPr>
            </w:pPr>
            <w:r w:rsidRPr="009736D6">
              <w:rPr>
                <w:b/>
                <w:spacing w:val="18"/>
                <w:sz w:val="20"/>
              </w:rPr>
              <w:t>2612</w:t>
            </w:r>
          </w:p>
        </w:tc>
        <w:tc>
          <w:tcPr>
            <w:tcW w:w="861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  <w:hideMark/>
          </w:tcPr>
          <w:p w:rsidR="00A82AB2" w:rsidRPr="009736D6" w:rsidRDefault="00A82AB2">
            <w:pPr>
              <w:ind w:right="227"/>
              <w:jc w:val="right"/>
              <w:rPr>
                <w:b/>
                <w:spacing w:val="18"/>
                <w:sz w:val="20"/>
              </w:rPr>
            </w:pPr>
            <w:r w:rsidRPr="009736D6">
              <w:rPr>
                <w:b/>
                <w:spacing w:val="18"/>
                <w:sz w:val="20"/>
              </w:rPr>
              <w:t>1111</w:t>
            </w:r>
          </w:p>
        </w:tc>
      </w:tr>
      <w:tr w:rsidR="00DB018E" w:rsidRPr="009736D6" w:rsidTr="00DB018E">
        <w:trPr>
          <w:trHeight w:val="285"/>
        </w:trPr>
        <w:tc>
          <w:tcPr>
            <w:tcW w:w="160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rPr>
                <w:rFonts w:eastAsia="Arial Unicode MS"/>
                <w:sz w:val="20"/>
              </w:rPr>
            </w:pPr>
            <w:r w:rsidRPr="009736D6">
              <w:rPr>
                <w:sz w:val="20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 w:rsidP="00DB018E">
            <w:pPr>
              <w:rPr>
                <w:rFonts w:eastAsia="Arial Unicode MS"/>
                <w:sz w:val="20"/>
              </w:rPr>
            </w:pPr>
            <w:r w:rsidRPr="009736D6">
              <w:rPr>
                <w:sz w:val="20"/>
              </w:rPr>
              <w:t xml:space="preserve">daň z příjmů fyzických osob </w:t>
            </w:r>
            <w:r w:rsidR="00DB018E">
              <w:rPr>
                <w:sz w:val="20"/>
              </w:rPr>
              <w:t>placená plátci (</w:t>
            </w:r>
            <w:r w:rsidRPr="009736D6">
              <w:rPr>
                <w:sz w:val="20"/>
              </w:rPr>
              <w:t>závisl</w:t>
            </w:r>
            <w:r w:rsidR="00DB018E">
              <w:rPr>
                <w:sz w:val="20"/>
              </w:rPr>
              <w:t>á</w:t>
            </w:r>
            <w:r w:rsidRPr="009736D6">
              <w:rPr>
                <w:sz w:val="20"/>
              </w:rPr>
              <w:t xml:space="preserve"> - 1,5 % motivace</w:t>
            </w:r>
            <w:r w:rsidR="00DB018E">
              <w:rPr>
                <w:sz w:val="20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ind w:right="-3"/>
              <w:jc w:val="center"/>
              <w:rPr>
                <w:b/>
                <w:spacing w:val="18"/>
                <w:sz w:val="20"/>
              </w:rPr>
            </w:pPr>
            <w:r w:rsidRPr="009736D6">
              <w:rPr>
                <w:b/>
                <w:spacing w:val="18"/>
                <w:sz w:val="20"/>
              </w:rPr>
              <w:t>4634</w:t>
            </w:r>
          </w:p>
        </w:tc>
        <w:tc>
          <w:tcPr>
            <w:tcW w:w="861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  <w:hideMark/>
          </w:tcPr>
          <w:p w:rsidR="00A82AB2" w:rsidRPr="009736D6" w:rsidRDefault="00A82AB2">
            <w:pPr>
              <w:ind w:right="227"/>
              <w:jc w:val="right"/>
              <w:rPr>
                <w:b/>
                <w:spacing w:val="18"/>
                <w:sz w:val="20"/>
              </w:rPr>
            </w:pPr>
            <w:r w:rsidRPr="009736D6">
              <w:rPr>
                <w:b/>
                <w:spacing w:val="18"/>
                <w:sz w:val="20"/>
              </w:rPr>
              <w:t>1111</w:t>
            </w:r>
          </w:p>
        </w:tc>
      </w:tr>
      <w:tr w:rsidR="00DB018E" w:rsidRPr="009736D6" w:rsidTr="00DB018E">
        <w:trPr>
          <w:trHeight w:val="285"/>
        </w:trPr>
        <w:tc>
          <w:tcPr>
            <w:tcW w:w="3362" w:type="pct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pStyle w:val="Nadpis5"/>
            </w:pPr>
            <w:r w:rsidRPr="009736D6">
              <w:t xml:space="preserve">Daň z nemovitých věcí </w:t>
            </w: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>
            <w:pPr>
              <w:ind w:right="-3"/>
              <w:jc w:val="center"/>
              <w:rPr>
                <w:b/>
                <w:bCs/>
                <w:spacing w:val="18"/>
                <w:sz w:val="20"/>
              </w:rPr>
            </w:pPr>
            <w:r w:rsidRPr="009736D6">
              <w:rPr>
                <w:b/>
                <w:bCs/>
                <w:spacing w:val="18"/>
                <w:sz w:val="20"/>
              </w:rPr>
              <w:t>633</w:t>
            </w:r>
          </w:p>
        </w:tc>
        <w:tc>
          <w:tcPr>
            <w:tcW w:w="861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  <w:hideMark/>
          </w:tcPr>
          <w:p w:rsidR="00A82AB2" w:rsidRPr="009736D6" w:rsidRDefault="00A82AB2">
            <w:pPr>
              <w:ind w:right="227"/>
              <w:jc w:val="right"/>
              <w:rPr>
                <w:b/>
                <w:bCs/>
                <w:spacing w:val="18"/>
                <w:sz w:val="20"/>
              </w:rPr>
            </w:pPr>
            <w:r w:rsidRPr="009736D6">
              <w:rPr>
                <w:b/>
                <w:bCs/>
                <w:spacing w:val="18"/>
                <w:sz w:val="20"/>
              </w:rPr>
              <w:t>1511</w:t>
            </w:r>
          </w:p>
        </w:tc>
      </w:tr>
      <w:tr w:rsidR="00DB018E" w:rsidRPr="009736D6" w:rsidTr="00DB018E">
        <w:trPr>
          <w:trHeight w:val="302"/>
        </w:trPr>
        <w:tc>
          <w:tcPr>
            <w:tcW w:w="3362" w:type="pct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AB2" w:rsidRPr="009736D6" w:rsidRDefault="00A82AB2" w:rsidP="0034763E">
            <w:pPr>
              <w:rPr>
                <w:b/>
                <w:sz w:val="20"/>
                <w:szCs w:val="20"/>
              </w:rPr>
            </w:pPr>
            <w:r w:rsidRPr="009736D6">
              <w:rPr>
                <w:b/>
                <w:sz w:val="20"/>
                <w:szCs w:val="20"/>
              </w:rPr>
              <w:t xml:space="preserve">  Daň z hazardních her</w:t>
            </w: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AB2" w:rsidRPr="009736D6" w:rsidRDefault="00A82AB2">
            <w:pPr>
              <w:ind w:right="-3"/>
              <w:jc w:val="center"/>
              <w:rPr>
                <w:b/>
                <w:spacing w:val="18"/>
                <w:sz w:val="20"/>
              </w:rPr>
            </w:pPr>
          </w:p>
        </w:tc>
        <w:tc>
          <w:tcPr>
            <w:tcW w:w="861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center"/>
          </w:tcPr>
          <w:p w:rsidR="00A82AB2" w:rsidRPr="009736D6" w:rsidRDefault="00A82AB2" w:rsidP="00D3190A">
            <w:pPr>
              <w:ind w:left="163"/>
              <w:jc w:val="right"/>
              <w:rPr>
                <w:b/>
                <w:bCs/>
                <w:spacing w:val="18"/>
                <w:sz w:val="20"/>
              </w:rPr>
            </w:pPr>
          </w:p>
        </w:tc>
      </w:tr>
      <w:tr w:rsidR="00DB018E" w:rsidRPr="009736D6" w:rsidTr="0034763E">
        <w:trPr>
          <w:trHeight w:val="337"/>
        </w:trPr>
        <w:tc>
          <w:tcPr>
            <w:tcW w:w="160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AB2" w:rsidRPr="009736D6" w:rsidRDefault="00A82AB2">
            <w:pPr>
              <w:rPr>
                <w:sz w:val="20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82AB2" w:rsidRPr="009736D6" w:rsidRDefault="00A82AB2" w:rsidP="00C313FA">
            <w:pPr>
              <w:rPr>
                <w:sz w:val="20"/>
                <w:szCs w:val="20"/>
              </w:rPr>
            </w:pPr>
            <w:r w:rsidRPr="009736D6">
              <w:rPr>
                <w:bCs/>
                <w:sz w:val="20"/>
                <w:szCs w:val="20"/>
              </w:rPr>
              <w:t>převod daně dle § 7 odst. 4 písm. b) z. č. 187/</w:t>
            </w:r>
            <w:r w:rsidR="004B2213">
              <w:rPr>
                <w:bCs/>
                <w:sz w:val="20"/>
                <w:szCs w:val="20"/>
              </w:rPr>
              <w:t>201</w:t>
            </w:r>
            <w:r w:rsidR="00C313FA">
              <w:rPr>
                <w:bCs/>
                <w:sz w:val="20"/>
                <w:szCs w:val="20"/>
              </w:rPr>
              <w:t>6</w:t>
            </w:r>
            <w:r w:rsidRPr="009736D6">
              <w:rPr>
                <w:bCs/>
                <w:sz w:val="20"/>
                <w:szCs w:val="20"/>
              </w:rPr>
              <w:t xml:space="preserve"> Sb. - 30 %</w:t>
            </w: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AB2" w:rsidRPr="009736D6" w:rsidRDefault="00A82AB2">
            <w:pPr>
              <w:ind w:right="-3"/>
              <w:jc w:val="center"/>
              <w:rPr>
                <w:b/>
                <w:spacing w:val="18"/>
                <w:sz w:val="20"/>
              </w:rPr>
            </w:pPr>
            <w:r w:rsidRPr="009736D6">
              <w:rPr>
                <w:b/>
                <w:bCs/>
                <w:sz w:val="20"/>
                <w:szCs w:val="20"/>
              </w:rPr>
              <w:t>9814</w:t>
            </w:r>
          </w:p>
        </w:tc>
        <w:tc>
          <w:tcPr>
            <w:tcW w:w="861" w:type="pct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center"/>
            <w:hideMark/>
          </w:tcPr>
          <w:p w:rsidR="00A82AB2" w:rsidRPr="009736D6" w:rsidRDefault="00A82AB2" w:rsidP="001E3794">
            <w:pPr>
              <w:ind w:right="227"/>
              <w:jc w:val="right"/>
              <w:rPr>
                <w:b/>
                <w:bCs/>
                <w:spacing w:val="18"/>
                <w:sz w:val="20"/>
              </w:rPr>
            </w:pPr>
            <w:r w:rsidRPr="009736D6">
              <w:rPr>
                <w:b/>
                <w:bCs/>
                <w:spacing w:val="18"/>
                <w:sz w:val="20"/>
              </w:rPr>
              <w:t>1381</w:t>
            </w:r>
          </w:p>
        </w:tc>
      </w:tr>
      <w:tr w:rsidR="00DB018E" w:rsidRPr="009736D6" w:rsidTr="00DB018E">
        <w:trPr>
          <w:trHeight w:val="364"/>
        </w:trPr>
        <w:tc>
          <w:tcPr>
            <w:tcW w:w="16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AB2" w:rsidRPr="009736D6" w:rsidRDefault="00A82AB2">
            <w:pPr>
              <w:rPr>
                <w:sz w:val="20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A82AB2" w:rsidRPr="009736D6" w:rsidRDefault="00A82AB2" w:rsidP="00C313FA">
            <w:pPr>
              <w:rPr>
                <w:sz w:val="20"/>
                <w:szCs w:val="20"/>
              </w:rPr>
            </w:pPr>
            <w:r w:rsidRPr="009736D6">
              <w:rPr>
                <w:bCs/>
                <w:sz w:val="20"/>
                <w:szCs w:val="20"/>
              </w:rPr>
              <w:t>převod daně dle § 7 odst. 1 písm. b) z. č. 187/</w:t>
            </w:r>
            <w:r w:rsidR="004B2213">
              <w:rPr>
                <w:bCs/>
                <w:sz w:val="20"/>
                <w:szCs w:val="20"/>
              </w:rPr>
              <w:t>201</w:t>
            </w:r>
            <w:r w:rsidR="00C313FA">
              <w:rPr>
                <w:bCs/>
                <w:sz w:val="20"/>
                <w:szCs w:val="20"/>
              </w:rPr>
              <w:t>6</w:t>
            </w:r>
            <w:r w:rsidRPr="009736D6">
              <w:rPr>
                <w:bCs/>
                <w:sz w:val="20"/>
                <w:szCs w:val="20"/>
              </w:rPr>
              <w:t xml:space="preserve"> Sb. - 65 %</w:t>
            </w:r>
          </w:p>
        </w:tc>
        <w:tc>
          <w:tcPr>
            <w:tcW w:w="777" w:type="pct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AB2" w:rsidRPr="009736D6" w:rsidRDefault="00A82AB2">
            <w:pPr>
              <w:ind w:right="-3"/>
              <w:jc w:val="center"/>
              <w:rPr>
                <w:b/>
                <w:spacing w:val="18"/>
                <w:sz w:val="20"/>
              </w:rPr>
            </w:pPr>
            <w:r w:rsidRPr="009736D6">
              <w:rPr>
                <w:b/>
                <w:bCs/>
                <w:sz w:val="20"/>
                <w:szCs w:val="20"/>
              </w:rPr>
              <w:t>9822</w:t>
            </w:r>
          </w:p>
        </w:tc>
        <w:tc>
          <w:tcPr>
            <w:tcW w:w="861" w:type="pct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center"/>
            <w:hideMark/>
          </w:tcPr>
          <w:p w:rsidR="00A82AB2" w:rsidRPr="009736D6" w:rsidRDefault="0034763E" w:rsidP="001E3794">
            <w:pPr>
              <w:ind w:right="227"/>
              <w:jc w:val="right"/>
              <w:rPr>
                <w:b/>
                <w:bCs/>
                <w:spacing w:val="18"/>
                <w:sz w:val="20"/>
              </w:rPr>
            </w:pPr>
            <w:r>
              <w:rPr>
                <w:b/>
                <w:bCs/>
                <w:spacing w:val="18"/>
                <w:sz w:val="20"/>
              </w:rPr>
              <w:t>1385</w:t>
            </w:r>
          </w:p>
        </w:tc>
      </w:tr>
    </w:tbl>
    <w:p w:rsidR="00A82AB2" w:rsidRPr="009736D6" w:rsidRDefault="00A82AB2" w:rsidP="00A82AB2"/>
    <w:p w:rsidR="00135C70" w:rsidRDefault="00135C70"/>
    <w:p w:rsidR="00E53BD3" w:rsidRDefault="00E53BD3"/>
    <w:p w:rsidR="0057098E" w:rsidRDefault="0057098E"/>
    <w:p w:rsidR="00E53BD3" w:rsidRDefault="00E53BD3"/>
    <w:p w:rsidR="00686BE3" w:rsidRDefault="00686BE3" w:rsidP="0068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left="720" w:hanging="540"/>
        <w:rPr>
          <w:b/>
          <w:bCs/>
        </w:rPr>
      </w:pPr>
      <w:r>
        <w:rPr>
          <w:b/>
          <w:bCs/>
        </w:rPr>
        <w:t xml:space="preserve">III.   Způsob převádění prostředků ze státního rozpočtu do rozpočtů obcí, </w:t>
      </w:r>
      <w:r w:rsidRPr="00F47ED3">
        <w:rPr>
          <w:b/>
          <w:bCs/>
        </w:rPr>
        <w:t xml:space="preserve">krajů </w:t>
      </w:r>
      <w:r>
        <w:rPr>
          <w:b/>
          <w:bCs/>
        </w:rPr>
        <w:t xml:space="preserve">a hl. m. Prahy v roce </w:t>
      </w:r>
      <w:r w:rsidR="004B2213">
        <w:rPr>
          <w:b/>
          <w:bCs/>
        </w:rPr>
        <w:t>20</w:t>
      </w:r>
      <w:r w:rsidR="001B6426">
        <w:rPr>
          <w:b/>
          <w:bCs/>
        </w:rPr>
        <w:t>20</w:t>
      </w:r>
    </w:p>
    <w:p w:rsidR="00686BE3" w:rsidRDefault="00686BE3"/>
    <w:p w:rsidR="0009536A" w:rsidRDefault="0009536A">
      <w:pPr>
        <w:pStyle w:val="Nadpis4"/>
        <w:rPr>
          <w:u w:val="none"/>
        </w:rPr>
      </w:pPr>
      <w:r>
        <w:rPr>
          <w:b/>
          <w:bCs/>
          <w:u w:val="none"/>
        </w:rPr>
        <w:t>Referent:</w:t>
      </w:r>
      <w:r>
        <w:rPr>
          <w:u w:val="none"/>
        </w:rPr>
        <w:t xml:space="preserve"> Ing.</w:t>
      </w:r>
      <w:r w:rsidR="00F844E6">
        <w:rPr>
          <w:u w:val="none"/>
        </w:rPr>
        <w:t xml:space="preserve"> Rudolf Kotrba, tel. 25704 2495</w:t>
      </w:r>
    </w:p>
    <w:p w:rsidR="0009536A" w:rsidRDefault="0009536A">
      <w:pPr>
        <w:rPr>
          <w:i/>
          <w:iCs/>
        </w:rPr>
      </w:pPr>
    </w:p>
    <w:p w:rsidR="0009536A" w:rsidRPr="0005319E" w:rsidRDefault="0009536A" w:rsidP="00B11B28">
      <w:pPr>
        <w:pStyle w:val="Zkladntextodsazen"/>
        <w:framePr w:hSpace="0" w:wrap="auto" w:vAnchor="margin" w:yAlign="inlin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360"/>
        </w:tabs>
        <w:spacing w:before="120" w:after="120"/>
        <w:ind w:left="357" w:hanging="357"/>
        <w:rPr>
          <w:b w:val="0"/>
          <w:bCs w:val="0"/>
          <w:i w:val="0"/>
          <w:iCs w:val="0"/>
        </w:rPr>
      </w:pPr>
      <w:r w:rsidRPr="0005319E">
        <w:rPr>
          <w:b w:val="0"/>
          <w:bCs w:val="0"/>
          <w:i w:val="0"/>
          <w:iCs w:val="0"/>
        </w:rPr>
        <w:t>Způsob převádění finančních prostředků ze státního rozpočtu (státních fondů) do rozpočtů obcí a krajů je stanoven v příloze usnesení vlády České republiky č. 1084</w:t>
      </w:r>
      <w:r w:rsidR="00BA5730">
        <w:rPr>
          <w:b w:val="0"/>
          <w:bCs w:val="0"/>
          <w:i w:val="0"/>
          <w:iCs w:val="0"/>
        </w:rPr>
        <w:t>/2002</w:t>
      </w:r>
      <w:r w:rsidRPr="0005319E">
        <w:rPr>
          <w:b w:val="0"/>
          <w:bCs w:val="0"/>
          <w:i w:val="0"/>
          <w:iCs w:val="0"/>
        </w:rPr>
        <w:t xml:space="preserve">. </w:t>
      </w:r>
    </w:p>
    <w:p w:rsidR="0009536A" w:rsidRDefault="0009536A" w:rsidP="00B11B28">
      <w:pPr>
        <w:pStyle w:val="Zkladntextodsazen"/>
        <w:framePr w:hSpace="0" w:wrap="auto" w:vAnchor="margin" w:yAlign="inlin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360"/>
        </w:tabs>
        <w:spacing w:before="120" w:after="120"/>
        <w:ind w:left="357" w:hanging="35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Způsob zaúčtování neinvestičních přijatých dotací ze státního rozpočtu (státních fondů) </w:t>
      </w:r>
      <w:r w:rsidR="007E07F0">
        <w:rPr>
          <w:b w:val="0"/>
          <w:bCs w:val="0"/>
          <w:i w:val="0"/>
          <w:iCs w:val="0"/>
        </w:rPr>
        <w:br/>
      </w:r>
      <w:r>
        <w:rPr>
          <w:b w:val="0"/>
          <w:bCs w:val="0"/>
          <w:i w:val="0"/>
          <w:iCs w:val="0"/>
        </w:rPr>
        <w:t>do rozpočtu hl. m. Prahy:</w:t>
      </w:r>
    </w:p>
    <w:p w:rsidR="0009536A" w:rsidRPr="00622A7E" w:rsidRDefault="0009536A" w:rsidP="00B41ABE">
      <w:pPr>
        <w:pStyle w:val="Zkladntextodsazen"/>
        <w:framePr w:hSpace="0" w:wrap="auto" w:vAnchor="margin" w:yAlign="inlin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spacing w:before="120"/>
        <w:ind w:left="1080"/>
        <w:contextualSpacing/>
        <w:rPr>
          <w:b w:val="0"/>
          <w:bCs w:val="0"/>
          <w:i w:val="0"/>
        </w:rPr>
      </w:pPr>
      <w:r w:rsidRPr="00622A7E">
        <w:rPr>
          <w:b w:val="0"/>
          <w:bCs w:val="0"/>
          <w:i w:val="0"/>
        </w:rPr>
        <w:t xml:space="preserve">Finanční vztah státního rozpočtu k rozpočtu hl. m. Prahy (příloha č. 7 k zákonu o státním rozpočtu </w:t>
      </w:r>
      <w:r w:rsidR="006D7661">
        <w:rPr>
          <w:b w:val="0"/>
          <w:bCs w:val="0"/>
          <w:i w:val="0"/>
        </w:rPr>
        <w:t xml:space="preserve">České republiky </w:t>
      </w:r>
      <w:r w:rsidRPr="00622A7E">
        <w:rPr>
          <w:b w:val="0"/>
          <w:bCs w:val="0"/>
          <w:i w:val="0"/>
        </w:rPr>
        <w:t xml:space="preserve">na rok </w:t>
      </w:r>
      <w:r w:rsidR="004B2213">
        <w:rPr>
          <w:b w:val="0"/>
          <w:bCs w:val="0"/>
          <w:i w:val="0"/>
        </w:rPr>
        <w:t>20</w:t>
      </w:r>
      <w:r w:rsidR="001B6426">
        <w:rPr>
          <w:b w:val="0"/>
          <w:bCs w:val="0"/>
          <w:i w:val="0"/>
        </w:rPr>
        <w:t>20</w:t>
      </w:r>
      <w:r w:rsidRPr="00622A7E">
        <w:rPr>
          <w:b w:val="0"/>
          <w:bCs w:val="0"/>
          <w:i w:val="0"/>
        </w:rPr>
        <w:t>) – příjmová položka 4112,</w:t>
      </w:r>
    </w:p>
    <w:p w:rsidR="0009536A" w:rsidRPr="00622A7E" w:rsidRDefault="0009536A" w:rsidP="00B41ABE">
      <w:pPr>
        <w:pStyle w:val="Zkladntextodsazen"/>
        <w:framePr w:hSpace="0" w:wrap="auto" w:vAnchor="margin" w:yAlign="inlin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spacing w:before="120"/>
        <w:ind w:left="0" w:firstLine="720"/>
        <w:contextualSpacing/>
        <w:rPr>
          <w:b w:val="0"/>
          <w:bCs w:val="0"/>
          <w:i w:val="0"/>
        </w:rPr>
      </w:pPr>
      <w:r w:rsidRPr="00622A7E">
        <w:rPr>
          <w:b w:val="0"/>
          <w:bCs w:val="0"/>
          <w:i w:val="0"/>
        </w:rPr>
        <w:t>Účelové dotace z kapitoly VPS státního rozpočtu – příjmová položka 4111,</w:t>
      </w:r>
    </w:p>
    <w:p w:rsidR="0009536A" w:rsidRPr="00622A7E" w:rsidRDefault="0009536A" w:rsidP="00B41ABE">
      <w:pPr>
        <w:pStyle w:val="Zkladntextodsazen"/>
        <w:framePr w:hSpace="0" w:wrap="auto" w:vAnchor="margin" w:yAlign="inlin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spacing w:before="120"/>
        <w:ind w:left="0" w:firstLine="720"/>
        <w:contextualSpacing/>
        <w:rPr>
          <w:b w:val="0"/>
          <w:bCs w:val="0"/>
          <w:i w:val="0"/>
        </w:rPr>
      </w:pPr>
      <w:r w:rsidRPr="00622A7E">
        <w:rPr>
          <w:b w:val="0"/>
          <w:bCs w:val="0"/>
          <w:i w:val="0"/>
        </w:rPr>
        <w:t>Účelové dotace z ostatních kapitol státního rozpočtu – příjmová položka 4116,</w:t>
      </w:r>
    </w:p>
    <w:p w:rsidR="0009536A" w:rsidRPr="00B41ABE" w:rsidRDefault="0009536A" w:rsidP="00B11B28">
      <w:pPr>
        <w:pStyle w:val="Zkladntextodsazen"/>
        <w:framePr w:hSpace="0" w:wrap="auto" w:vAnchor="margin" w:yAlign="inlin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spacing w:before="120" w:after="120"/>
        <w:ind w:left="0" w:firstLine="720"/>
        <w:contextualSpacing/>
        <w:rPr>
          <w:b w:val="0"/>
          <w:bCs w:val="0"/>
          <w:i w:val="0"/>
        </w:rPr>
      </w:pPr>
      <w:r w:rsidRPr="00B41ABE">
        <w:rPr>
          <w:b w:val="0"/>
          <w:bCs w:val="0"/>
          <w:i w:val="0"/>
        </w:rPr>
        <w:t>Účelové dotace ze státních fondů – příjmová položka 4113.</w:t>
      </w:r>
    </w:p>
    <w:sectPr w:rsidR="0009536A" w:rsidRPr="00B41ABE" w:rsidSect="0072364A">
      <w:footerReference w:type="even" r:id="rId9"/>
      <w:footerReference w:type="default" r:id="rId10"/>
      <w:headerReference w:type="first" r:id="rId11"/>
      <w:pgSz w:w="11906" w:h="16838"/>
      <w:pgMar w:top="1304" w:right="1418" w:bottom="124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0B" w:rsidRDefault="002B0B0B">
      <w:r>
        <w:separator/>
      </w:r>
    </w:p>
  </w:endnote>
  <w:endnote w:type="continuationSeparator" w:id="0">
    <w:p w:rsidR="002B0B0B" w:rsidRDefault="002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6A" w:rsidRDefault="000953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536A" w:rsidRDefault="000953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6A" w:rsidRDefault="000953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31B">
      <w:rPr>
        <w:rStyle w:val="slostrnky"/>
        <w:noProof/>
      </w:rPr>
      <w:t>6</w:t>
    </w:r>
    <w:r>
      <w:rPr>
        <w:rStyle w:val="slostrnky"/>
      </w:rPr>
      <w:fldChar w:fldCharType="end"/>
    </w:r>
  </w:p>
  <w:p w:rsidR="0009536A" w:rsidRDefault="000953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0B" w:rsidRDefault="002B0B0B">
      <w:r>
        <w:separator/>
      </w:r>
    </w:p>
  </w:footnote>
  <w:footnote w:type="continuationSeparator" w:id="0">
    <w:p w:rsidR="002B0B0B" w:rsidRDefault="002B0B0B">
      <w:r>
        <w:continuationSeparator/>
      </w:r>
    </w:p>
  </w:footnote>
  <w:footnote w:id="1">
    <w:p w:rsidR="00B07DC6" w:rsidRDefault="00B07DC6" w:rsidP="00D802AC">
      <w:pPr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E43501">
        <w:t xml:space="preserve"> </w:t>
      </w:r>
      <w:r w:rsidRPr="001565D8">
        <w:rPr>
          <w:iCs/>
          <w:sz w:val="18"/>
          <w:szCs w:val="18"/>
        </w:rPr>
        <w:t>Zřizovateli škol a školských zařízení jsou dle zákona č. 250/2000 Sb., o rozpočtových pravidlech územních rozpočtů i</w:t>
      </w:r>
      <w:r w:rsidR="00C910E5">
        <w:rPr>
          <w:iCs/>
          <w:sz w:val="18"/>
          <w:szCs w:val="18"/>
        </w:rPr>
        <w:t> </w:t>
      </w:r>
      <w:r w:rsidR="00F8683B">
        <w:rPr>
          <w:iCs/>
          <w:sz w:val="18"/>
          <w:szCs w:val="18"/>
        </w:rPr>
        <w:t>DSO</w:t>
      </w:r>
      <w:r w:rsidRPr="001565D8">
        <w:rPr>
          <w:iCs/>
          <w:sz w:val="18"/>
          <w:szCs w:val="18"/>
        </w:rPr>
        <w:t>. Nemají daňové příjmy a jsou financovány zejména z dotací členských obcí. D</w:t>
      </w:r>
      <w:r>
        <w:rPr>
          <w:iCs/>
          <w:sz w:val="18"/>
          <w:szCs w:val="18"/>
        </w:rPr>
        <w:t>SO</w:t>
      </w:r>
      <w:r w:rsidRPr="001565D8">
        <w:rPr>
          <w:iCs/>
          <w:sz w:val="18"/>
          <w:szCs w:val="18"/>
        </w:rPr>
        <w:t xml:space="preserve"> </w:t>
      </w:r>
      <w:r w:rsidR="006E198B">
        <w:rPr>
          <w:iCs/>
          <w:sz w:val="18"/>
          <w:szCs w:val="18"/>
        </w:rPr>
        <w:t>mají nárok</w:t>
      </w:r>
      <w:r w:rsidRPr="001565D8">
        <w:rPr>
          <w:iCs/>
          <w:sz w:val="18"/>
          <w:szCs w:val="18"/>
        </w:rPr>
        <w:t xml:space="preserve"> dle aktuální právní úpravy </w:t>
      </w:r>
      <w:r w:rsidR="001A3CDE">
        <w:rPr>
          <w:iCs/>
          <w:sz w:val="18"/>
          <w:szCs w:val="18"/>
        </w:rPr>
        <w:t xml:space="preserve">školského zákona </w:t>
      </w:r>
      <w:r w:rsidRPr="001565D8">
        <w:rPr>
          <w:iCs/>
          <w:sz w:val="18"/>
          <w:szCs w:val="18"/>
        </w:rPr>
        <w:t xml:space="preserve">nárok na </w:t>
      </w:r>
      <w:r w:rsidR="006E198B">
        <w:rPr>
          <w:iCs/>
          <w:sz w:val="18"/>
          <w:szCs w:val="18"/>
        </w:rPr>
        <w:t>dotaci</w:t>
      </w:r>
      <w:r w:rsidRPr="001565D8">
        <w:rPr>
          <w:iCs/>
          <w:sz w:val="18"/>
          <w:szCs w:val="18"/>
        </w:rPr>
        <w:t>.</w:t>
      </w:r>
    </w:p>
  </w:footnote>
  <w:footnote w:id="2">
    <w:p w:rsidR="00B07DC6" w:rsidRPr="00267A74" w:rsidRDefault="00B07DC6" w:rsidP="00267A74">
      <w:pPr>
        <w:pStyle w:val="Textpoznpodarou"/>
        <w:ind w:left="284" w:hanging="284"/>
        <w:jc w:val="both"/>
        <w:rPr>
          <w:iCs/>
          <w:sz w:val="18"/>
          <w:szCs w:val="18"/>
        </w:rPr>
      </w:pPr>
      <w:r w:rsidRPr="003745CE">
        <w:rPr>
          <w:rStyle w:val="Znakapoznpodarou"/>
          <w:sz w:val="24"/>
          <w:szCs w:val="24"/>
        </w:rPr>
        <w:footnoteRef/>
      </w:r>
      <w:r w:rsidRPr="00267A74">
        <w:rPr>
          <w:sz w:val="18"/>
          <w:szCs w:val="18"/>
        </w:rPr>
        <w:t xml:space="preserve"> </w:t>
      </w:r>
      <w:r w:rsidR="00A014C1" w:rsidRPr="00267A74">
        <w:rPr>
          <w:sz w:val="18"/>
          <w:szCs w:val="18"/>
        </w:rPr>
        <w:t xml:space="preserve">  </w:t>
      </w:r>
      <w:r w:rsidRPr="00267A74">
        <w:rPr>
          <w:iCs/>
          <w:sz w:val="18"/>
          <w:szCs w:val="18"/>
        </w:rPr>
        <w:t>Uvedený údaj bude mít Ministerstvo financí k dispozici počátkem roku 20</w:t>
      </w:r>
      <w:r w:rsidR="00BB1D85">
        <w:rPr>
          <w:iCs/>
          <w:sz w:val="18"/>
          <w:szCs w:val="18"/>
        </w:rPr>
        <w:t>20</w:t>
      </w:r>
      <w:r w:rsidRPr="00267A74">
        <w:rPr>
          <w:iCs/>
          <w:sz w:val="18"/>
          <w:szCs w:val="18"/>
        </w:rPr>
        <w:t>, z tohoto důvodu bude výše příspěvku na</w:t>
      </w:r>
      <w:r w:rsidR="00E43501" w:rsidRPr="00267A74">
        <w:rPr>
          <w:iCs/>
          <w:sz w:val="18"/>
          <w:szCs w:val="18"/>
        </w:rPr>
        <w:t xml:space="preserve"> </w:t>
      </w:r>
      <w:r w:rsidRPr="00267A74">
        <w:rPr>
          <w:iCs/>
          <w:sz w:val="18"/>
          <w:szCs w:val="18"/>
        </w:rPr>
        <w:t>žáka</w:t>
      </w:r>
      <w:r w:rsidR="00E43501" w:rsidRPr="00267A74">
        <w:rPr>
          <w:iCs/>
          <w:sz w:val="18"/>
          <w:szCs w:val="18"/>
        </w:rPr>
        <w:t xml:space="preserve"> </w:t>
      </w:r>
      <w:r w:rsidRPr="00267A74">
        <w:rPr>
          <w:iCs/>
          <w:sz w:val="18"/>
          <w:szCs w:val="18"/>
        </w:rPr>
        <w:t xml:space="preserve">navštěvujícího školské zařízení zřizované </w:t>
      </w:r>
      <w:r w:rsidR="004E7D84">
        <w:rPr>
          <w:iCs/>
          <w:sz w:val="18"/>
          <w:szCs w:val="18"/>
        </w:rPr>
        <w:t>DSO</w:t>
      </w:r>
      <w:r w:rsidRPr="00267A74">
        <w:rPr>
          <w:iCs/>
          <w:sz w:val="18"/>
          <w:szCs w:val="18"/>
        </w:rPr>
        <w:t xml:space="preserve"> propočtena až počátkem uvedeného roku. </w:t>
      </w:r>
      <w:r w:rsidR="00455902">
        <w:rPr>
          <w:iCs/>
          <w:sz w:val="18"/>
          <w:szCs w:val="18"/>
        </w:rPr>
        <w:t>Pro informaci, výše příspěvku na žáka v rámci rozpočtového určení daní pro rok 201</w:t>
      </w:r>
      <w:r w:rsidR="00BB1D85">
        <w:rPr>
          <w:iCs/>
          <w:sz w:val="18"/>
          <w:szCs w:val="18"/>
        </w:rPr>
        <w:t>9</w:t>
      </w:r>
      <w:r w:rsidR="00455902">
        <w:rPr>
          <w:iCs/>
          <w:sz w:val="18"/>
          <w:szCs w:val="18"/>
        </w:rPr>
        <w:t xml:space="preserve"> čin</w:t>
      </w:r>
      <w:r w:rsidR="00416272">
        <w:rPr>
          <w:iCs/>
          <w:sz w:val="18"/>
          <w:szCs w:val="18"/>
        </w:rPr>
        <w:t>ila</w:t>
      </w:r>
      <w:r w:rsidR="00455902">
        <w:rPr>
          <w:iCs/>
          <w:sz w:val="18"/>
          <w:szCs w:val="18"/>
        </w:rPr>
        <w:t xml:space="preserve"> </w:t>
      </w:r>
      <w:r w:rsidR="00112ECE">
        <w:rPr>
          <w:iCs/>
          <w:sz w:val="18"/>
          <w:szCs w:val="18"/>
        </w:rPr>
        <w:t>1</w:t>
      </w:r>
      <w:r w:rsidR="00BB1D85">
        <w:rPr>
          <w:iCs/>
          <w:sz w:val="18"/>
          <w:szCs w:val="18"/>
        </w:rPr>
        <w:t>4 500</w:t>
      </w:r>
      <w:r w:rsidR="00455902">
        <w:rPr>
          <w:iCs/>
          <w:sz w:val="18"/>
          <w:szCs w:val="18"/>
        </w:rPr>
        <w:t xml:space="preserve"> 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EE" w:rsidRDefault="00BC33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37D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2657CA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>
    <w:nsid w:val="054679B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>
    <w:nsid w:val="065D4E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F1D7E5B"/>
    <w:multiLevelType w:val="hybridMultilevel"/>
    <w:tmpl w:val="8C6EC4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C6A8B"/>
    <w:multiLevelType w:val="hybridMultilevel"/>
    <w:tmpl w:val="246A504A"/>
    <w:lvl w:ilvl="0" w:tplc="BFB2ADE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E408B0"/>
    <w:multiLevelType w:val="hybridMultilevel"/>
    <w:tmpl w:val="93A482B8"/>
    <w:lvl w:ilvl="0" w:tplc="BFB2AD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075A0C"/>
    <w:multiLevelType w:val="hybridMultilevel"/>
    <w:tmpl w:val="F23EFF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22CEA"/>
    <w:multiLevelType w:val="hybridMultilevel"/>
    <w:tmpl w:val="75C0B7FC"/>
    <w:lvl w:ilvl="0" w:tplc="EBFA5446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818E1"/>
    <w:multiLevelType w:val="hybridMultilevel"/>
    <w:tmpl w:val="792E75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2501682"/>
    <w:multiLevelType w:val="hybridMultilevel"/>
    <w:tmpl w:val="528AF334"/>
    <w:lvl w:ilvl="0" w:tplc="BFB2A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B009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3">
    <w:nsid w:val="2B7F6247"/>
    <w:multiLevelType w:val="hybridMultilevel"/>
    <w:tmpl w:val="265279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7465A7"/>
    <w:multiLevelType w:val="hybridMultilevel"/>
    <w:tmpl w:val="03DC7F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25EBF"/>
    <w:multiLevelType w:val="hybridMultilevel"/>
    <w:tmpl w:val="FED01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B0BA3"/>
    <w:multiLevelType w:val="hybridMultilevel"/>
    <w:tmpl w:val="B79E9596"/>
    <w:lvl w:ilvl="0" w:tplc="BFB2A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11AB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450A5E48"/>
    <w:multiLevelType w:val="hybridMultilevel"/>
    <w:tmpl w:val="BB7E47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C7BD9"/>
    <w:multiLevelType w:val="hybridMultilevel"/>
    <w:tmpl w:val="619AE8B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4111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484E2BC7"/>
    <w:multiLevelType w:val="hybridMultilevel"/>
    <w:tmpl w:val="7C8C8B7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D51E4"/>
    <w:multiLevelType w:val="hybridMultilevel"/>
    <w:tmpl w:val="71FEBE78"/>
    <w:lvl w:ilvl="0" w:tplc="834C8994">
      <w:start w:val="2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F60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53687FFA"/>
    <w:multiLevelType w:val="hybridMultilevel"/>
    <w:tmpl w:val="3492367C"/>
    <w:lvl w:ilvl="0" w:tplc="C83C4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15A8"/>
    <w:multiLevelType w:val="hybridMultilevel"/>
    <w:tmpl w:val="7C8C8B7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E2E95"/>
    <w:multiLevelType w:val="hybridMultilevel"/>
    <w:tmpl w:val="070239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861FA"/>
    <w:multiLevelType w:val="hybridMultilevel"/>
    <w:tmpl w:val="F1D6357C"/>
    <w:lvl w:ilvl="0" w:tplc="F8F42FD8">
      <w:start w:val="1"/>
      <w:numFmt w:val="bullet"/>
      <w:lvlText w:val="-"/>
      <w:lvlJc w:val="left"/>
      <w:pPr>
        <w:tabs>
          <w:tab w:val="num" w:pos="1293"/>
        </w:tabs>
        <w:ind w:left="1293" w:hanging="94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687C2C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>
    <w:nsid w:val="72F56C1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7AD928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7F3E34DB"/>
    <w:multiLevelType w:val="hybridMultilevel"/>
    <w:tmpl w:val="7C8C8B70"/>
    <w:lvl w:ilvl="0" w:tplc="B7EEBE9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1"/>
  </w:num>
  <w:num w:numId="5">
    <w:abstractNumId w:val="30"/>
  </w:num>
  <w:num w:numId="6">
    <w:abstractNumId w:val="4"/>
  </w:num>
  <w:num w:numId="7">
    <w:abstractNumId w:val="23"/>
  </w:num>
  <w:num w:numId="8">
    <w:abstractNumId w:val="17"/>
  </w:num>
  <w:num w:numId="9">
    <w:abstractNumId w:val="19"/>
  </w:num>
  <w:num w:numId="10">
    <w:abstractNumId w:val="12"/>
  </w:num>
  <w:num w:numId="11">
    <w:abstractNumId w:val="3"/>
  </w:num>
  <w:num w:numId="12">
    <w:abstractNumId w:val="21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5">
    <w:abstractNumId w:val="10"/>
  </w:num>
  <w:num w:numId="16">
    <w:abstractNumId w:val="25"/>
  </w:num>
  <w:num w:numId="17">
    <w:abstractNumId w:val="31"/>
  </w:num>
  <w:num w:numId="18">
    <w:abstractNumId w:val="27"/>
  </w:num>
  <w:num w:numId="19">
    <w:abstractNumId w:val="22"/>
  </w:num>
  <w:num w:numId="20">
    <w:abstractNumId w:val="18"/>
  </w:num>
  <w:num w:numId="21">
    <w:abstractNumId w:val="24"/>
  </w:num>
  <w:num w:numId="22">
    <w:abstractNumId w:val="8"/>
  </w:num>
  <w:num w:numId="23">
    <w:abstractNumId w:val="7"/>
  </w:num>
  <w:num w:numId="24">
    <w:abstractNumId w:val="16"/>
  </w:num>
  <w:num w:numId="25">
    <w:abstractNumId w:val="11"/>
  </w:num>
  <w:num w:numId="26">
    <w:abstractNumId w:val="6"/>
  </w:num>
  <w:num w:numId="27">
    <w:abstractNumId w:val="14"/>
  </w:num>
  <w:num w:numId="28">
    <w:abstractNumId w:val="5"/>
  </w:num>
  <w:num w:numId="29">
    <w:abstractNumId w:val="13"/>
  </w:num>
  <w:num w:numId="30">
    <w:abstractNumId w:val="26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54"/>
    <w:rsid w:val="00002EDD"/>
    <w:rsid w:val="00007C0C"/>
    <w:rsid w:val="000118D5"/>
    <w:rsid w:val="000119DF"/>
    <w:rsid w:val="00013398"/>
    <w:rsid w:val="0001348A"/>
    <w:rsid w:val="000140E1"/>
    <w:rsid w:val="00014EBF"/>
    <w:rsid w:val="00017ECB"/>
    <w:rsid w:val="00020CDB"/>
    <w:rsid w:val="000267B3"/>
    <w:rsid w:val="0003167F"/>
    <w:rsid w:val="00036A70"/>
    <w:rsid w:val="00037913"/>
    <w:rsid w:val="00040350"/>
    <w:rsid w:val="000410A7"/>
    <w:rsid w:val="000468F2"/>
    <w:rsid w:val="00046A1E"/>
    <w:rsid w:val="000478ED"/>
    <w:rsid w:val="000509E4"/>
    <w:rsid w:val="0005319E"/>
    <w:rsid w:val="00054195"/>
    <w:rsid w:val="00056BB5"/>
    <w:rsid w:val="00056D12"/>
    <w:rsid w:val="0005721E"/>
    <w:rsid w:val="00057E18"/>
    <w:rsid w:val="00061A25"/>
    <w:rsid w:val="00061ABA"/>
    <w:rsid w:val="0006392A"/>
    <w:rsid w:val="000659BC"/>
    <w:rsid w:val="00066800"/>
    <w:rsid w:val="0007367D"/>
    <w:rsid w:val="00074E0F"/>
    <w:rsid w:val="0007661F"/>
    <w:rsid w:val="000833EE"/>
    <w:rsid w:val="000912AE"/>
    <w:rsid w:val="00093DB8"/>
    <w:rsid w:val="0009536A"/>
    <w:rsid w:val="000A1487"/>
    <w:rsid w:val="000A2A94"/>
    <w:rsid w:val="000A329F"/>
    <w:rsid w:val="000A476A"/>
    <w:rsid w:val="000B0BBA"/>
    <w:rsid w:val="000B1A6A"/>
    <w:rsid w:val="000B3EF1"/>
    <w:rsid w:val="000B688D"/>
    <w:rsid w:val="000C13C8"/>
    <w:rsid w:val="000C246E"/>
    <w:rsid w:val="000C2508"/>
    <w:rsid w:val="000C4258"/>
    <w:rsid w:val="000D126B"/>
    <w:rsid w:val="000D22FE"/>
    <w:rsid w:val="000D26DF"/>
    <w:rsid w:val="000D43D6"/>
    <w:rsid w:val="000D7323"/>
    <w:rsid w:val="000F34DF"/>
    <w:rsid w:val="000F51F2"/>
    <w:rsid w:val="000F74D4"/>
    <w:rsid w:val="001045C5"/>
    <w:rsid w:val="00104B75"/>
    <w:rsid w:val="001116A7"/>
    <w:rsid w:val="00112ECE"/>
    <w:rsid w:val="0011374D"/>
    <w:rsid w:val="001161B1"/>
    <w:rsid w:val="0011667F"/>
    <w:rsid w:val="00117122"/>
    <w:rsid w:val="00121C84"/>
    <w:rsid w:val="00121DB5"/>
    <w:rsid w:val="00124334"/>
    <w:rsid w:val="00126336"/>
    <w:rsid w:val="001277CB"/>
    <w:rsid w:val="00134064"/>
    <w:rsid w:val="00135C70"/>
    <w:rsid w:val="00135DBB"/>
    <w:rsid w:val="0013623A"/>
    <w:rsid w:val="001366A2"/>
    <w:rsid w:val="00136F2A"/>
    <w:rsid w:val="00136F74"/>
    <w:rsid w:val="0014396A"/>
    <w:rsid w:val="0014573F"/>
    <w:rsid w:val="00151F83"/>
    <w:rsid w:val="0015211B"/>
    <w:rsid w:val="001536BB"/>
    <w:rsid w:val="00155DB4"/>
    <w:rsid w:val="00156FA5"/>
    <w:rsid w:val="001603F3"/>
    <w:rsid w:val="00161A9F"/>
    <w:rsid w:val="00161E97"/>
    <w:rsid w:val="00167431"/>
    <w:rsid w:val="00167D83"/>
    <w:rsid w:val="00170444"/>
    <w:rsid w:val="00174B74"/>
    <w:rsid w:val="00176637"/>
    <w:rsid w:val="00180717"/>
    <w:rsid w:val="00180A98"/>
    <w:rsid w:val="00181E56"/>
    <w:rsid w:val="00187784"/>
    <w:rsid w:val="0019055B"/>
    <w:rsid w:val="00192082"/>
    <w:rsid w:val="00195E39"/>
    <w:rsid w:val="001A2156"/>
    <w:rsid w:val="001A3CDE"/>
    <w:rsid w:val="001A69C8"/>
    <w:rsid w:val="001B04B5"/>
    <w:rsid w:val="001B0C8C"/>
    <w:rsid w:val="001B1B38"/>
    <w:rsid w:val="001B6426"/>
    <w:rsid w:val="001C5372"/>
    <w:rsid w:val="001C7C87"/>
    <w:rsid w:val="001D0CBE"/>
    <w:rsid w:val="001D3AB5"/>
    <w:rsid w:val="001D41EE"/>
    <w:rsid w:val="001D7750"/>
    <w:rsid w:val="001E14E5"/>
    <w:rsid w:val="001E224A"/>
    <w:rsid w:val="001E2D25"/>
    <w:rsid w:val="001E3794"/>
    <w:rsid w:val="001E497D"/>
    <w:rsid w:val="001E59FC"/>
    <w:rsid w:val="001F1F77"/>
    <w:rsid w:val="00202EEC"/>
    <w:rsid w:val="002038F4"/>
    <w:rsid w:val="00204CD8"/>
    <w:rsid w:val="0021054A"/>
    <w:rsid w:val="00214D54"/>
    <w:rsid w:val="0021676E"/>
    <w:rsid w:val="00216DA0"/>
    <w:rsid w:val="00220C57"/>
    <w:rsid w:val="002248DA"/>
    <w:rsid w:val="0022578B"/>
    <w:rsid w:val="00231DD4"/>
    <w:rsid w:val="00233EBD"/>
    <w:rsid w:val="00234B21"/>
    <w:rsid w:val="002357D1"/>
    <w:rsid w:val="00235E58"/>
    <w:rsid w:val="00237F55"/>
    <w:rsid w:val="0024007B"/>
    <w:rsid w:val="002454D7"/>
    <w:rsid w:val="00247CFF"/>
    <w:rsid w:val="00251E78"/>
    <w:rsid w:val="002552C1"/>
    <w:rsid w:val="00257C63"/>
    <w:rsid w:val="00264ADA"/>
    <w:rsid w:val="00267A74"/>
    <w:rsid w:val="00267B5B"/>
    <w:rsid w:val="00270278"/>
    <w:rsid w:val="00274026"/>
    <w:rsid w:val="002773D2"/>
    <w:rsid w:val="00284291"/>
    <w:rsid w:val="0028444D"/>
    <w:rsid w:val="00284F27"/>
    <w:rsid w:val="002935BF"/>
    <w:rsid w:val="002A03B3"/>
    <w:rsid w:val="002A3BA1"/>
    <w:rsid w:val="002A4AC0"/>
    <w:rsid w:val="002A4DE3"/>
    <w:rsid w:val="002B0B0B"/>
    <w:rsid w:val="002B18B9"/>
    <w:rsid w:val="002C41FF"/>
    <w:rsid w:val="002C7D02"/>
    <w:rsid w:val="002D11FF"/>
    <w:rsid w:val="002D3C36"/>
    <w:rsid w:val="002D49A7"/>
    <w:rsid w:val="002D4EC3"/>
    <w:rsid w:val="002D5ABE"/>
    <w:rsid w:val="002D6295"/>
    <w:rsid w:val="002D6795"/>
    <w:rsid w:val="002E3D34"/>
    <w:rsid w:val="002F063F"/>
    <w:rsid w:val="002F43BC"/>
    <w:rsid w:val="002F5D6B"/>
    <w:rsid w:val="002F7361"/>
    <w:rsid w:val="00300CB3"/>
    <w:rsid w:val="00305261"/>
    <w:rsid w:val="00305979"/>
    <w:rsid w:val="00305DE2"/>
    <w:rsid w:val="003120E8"/>
    <w:rsid w:val="00316198"/>
    <w:rsid w:val="0032460E"/>
    <w:rsid w:val="00342FFB"/>
    <w:rsid w:val="0034763E"/>
    <w:rsid w:val="00355C48"/>
    <w:rsid w:val="00356648"/>
    <w:rsid w:val="00356C10"/>
    <w:rsid w:val="003570BB"/>
    <w:rsid w:val="0036143F"/>
    <w:rsid w:val="00365AAC"/>
    <w:rsid w:val="00365F1D"/>
    <w:rsid w:val="00370BC3"/>
    <w:rsid w:val="003745CE"/>
    <w:rsid w:val="00390476"/>
    <w:rsid w:val="00390BD4"/>
    <w:rsid w:val="00393FB8"/>
    <w:rsid w:val="003944D1"/>
    <w:rsid w:val="003948C0"/>
    <w:rsid w:val="00394D11"/>
    <w:rsid w:val="00396E73"/>
    <w:rsid w:val="00397248"/>
    <w:rsid w:val="003A3702"/>
    <w:rsid w:val="003A70A9"/>
    <w:rsid w:val="003B1827"/>
    <w:rsid w:val="003B4B09"/>
    <w:rsid w:val="003B6CB5"/>
    <w:rsid w:val="003B7AAA"/>
    <w:rsid w:val="003C2A57"/>
    <w:rsid w:val="003C6D17"/>
    <w:rsid w:val="003D081D"/>
    <w:rsid w:val="003D1446"/>
    <w:rsid w:val="003D293C"/>
    <w:rsid w:val="003D5086"/>
    <w:rsid w:val="003D6537"/>
    <w:rsid w:val="003E08FA"/>
    <w:rsid w:val="003E21E6"/>
    <w:rsid w:val="003E430D"/>
    <w:rsid w:val="003E5212"/>
    <w:rsid w:val="003F54DD"/>
    <w:rsid w:val="003F6499"/>
    <w:rsid w:val="003F64F7"/>
    <w:rsid w:val="00401BE9"/>
    <w:rsid w:val="004047EB"/>
    <w:rsid w:val="00405333"/>
    <w:rsid w:val="00405DAD"/>
    <w:rsid w:val="00407457"/>
    <w:rsid w:val="004079C3"/>
    <w:rsid w:val="00407D3A"/>
    <w:rsid w:val="00411E49"/>
    <w:rsid w:val="00416272"/>
    <w:rsid w:val="0042117F"/>
    <w:rsid w:val="00421BF1"/>
    <w:rsid w:val="00421F33"/>
    <w:rsid w:val="00422387"/>
    <w:rsid w:val="004225E9"/>
    <w:rsid w:val="00426B91"/>
    <w:rsid w:val="00427BFC"/>
    <w:rsid w:val="00430B8E"/>
    <w:rsid w:val="00434035"/>
    <w:rsid w:val="0043492D"/>
    <w:rsid w:val="00436232"/>
    <w:rsid w:val="0043631B"/>
    <w:rsid w:val="004368ED"/>
    <w:rsid w:val="00444249"/>
    <w:rsid w:val="00444CD7"/>
    <w:rsid w:val="00446B69"/>
    <w:rsid w:val="0044706F"/>
    <w:rsid w:val="00451E55"/>
    <w:rsid w:val="00452653"/>
    <w:rsid w:val="00454C6B"/>
    <w:rsid w:val="00455902"/>
    <w:rsid w:val="00455FCE"/>
    <w:rsid w:val="0045722B"/>
    <w:rsid w:val="004633E3"/>
    <w:rsid w:val="00467FB7"/>
    <w:rsid w:val="00470921"/>
    <w:rsid w:val="00474E80"/>
    <w:rsid w:val="00475698"/>
    <w:rsid w:val="0048093F"/>
    <w:rsid w:val="0048523E"/>
    <w:rsid w:val="00485C3C"/>
    <w:rsid w:val="00485C42"/>
    <w:rsid w:val="00485E15"/>
    <w:rsid w:val="0048637A"/>
    <w:rsid w:val="0048760E"/>
    <w:rsid w:val="00491E94"/>
    <w:rsid w:val="00496821"/>
    <w:rsid w:val="00497385"/>
    <w:rsid w:val="004A0260"/>
    <w:rsid w:val="004A12E8"/>
    <w:rsid w:val="004A3E25"/>
    <w:rsid w:val="004A6CD1"/>
    <w:rsid w:val="004A772B"/>
    <w:rsid w:val="004B2213"/>
    <w:rsid w:val="004B5CD9"/>
    <w:rsid w:val="004B63EE"/>
    <w:rsid w:val="004C1832"/>
    <w:rsid w:val="004C1B5E"/>
    <w:rsid w:val="004C3C5E"/>
    <w:rsid w:val="004C4995"/>
    <w:rsid w:val="004D3073"/>
    <w:rsid w:val="004D3D96"/>
    <w:rsid w:val="004E0136"/>
    <w:rsid w:val="004E0820"/>
    <w:rsid w:val="004E0AA6"/>
    <w:rsid w:val="004E1A40"/>
    <w:rsid w:val="004E1FA8"/>
    <w:rsid w:val="004E6B13"/>
    <w:rsid w:val="004E6C55"/>
    <w:rsid w:val="004E7D84"/>
    <w:rsid w:val="004F661B"/>
    <w:rsid w:val="00500F1F"/>
    <w:rsid w:val="00510AEA"/>
    <w:rsid w:val="00510E95"/>
    <w:rsid w:val="00515BBF"/>
    <w:rsid w:val="00520A0F"/>
    <w:rsid w:val="00524737"/>
    <w:rsid w:val="005303A7"/>
    <w:rsid w:val="00532E90"/>
    <w:rsid w:val="00534944"/>
    <w:rsid w:val="0054395A"/>
    <w:rsid w:val="00543DC5"/>
    <w:rsid w:val="00544174"/>
    <w:rsid w:val="00545296"/>
    <w:rsid w:val="005466D9"/>
    <w:rsid w:val="005467C6"/>
    <w:rsid w:val="00550078"/>
    <w:rsid w:val="00551107"/>
    <w:rsid w:val="0055393C"/>
    <w:rsid w:val="00554AED"/>
    <w:rsid w:val="00555406"/>
    <w:rsid w:val="0055712B"/>
    <w:rsid w:val="00560216"/>
    <w:rsid w:val="0056064D"/>
    <w:rsid w:val="00561C97"/>
    <w:rsid w:val="00562412"/>
    <w:rsid w:val="0056259F"/>
    <w:rsid w:val="00564727"/>
    <w:rsid w:val="0057098E"/>
    <w:rsid w:val="0057267E"/>
    <w:rsid w:val="00573B3A"/>
    <w:rsid w:val="00574192"/>
    <w:rsid w:val="005776A0"/>
    <w:rsid w:val="0058243C"/>
    <w:rsid w:val="0058495D"/>
    <w:rsid w:val="00584FDB"/>
    <w:rsid w:val="005904C7"/>
    <w:rsid w:val="00591D91"/>
    <w:rsid w:val="00591FDE"/>
    <w:rsid w:val="00594587"/>
    <w:rsid w:val="00597D0A"/>
    <w:rsid w:val="005A0EB8"/>
    <w:rsid w:val="005A3409"/>
    <w:rsid w:val="005A40E4"/>
    <w:rsid w:val="005A41C7"/>
    <w:rsid w:val="005A573A"/>
    <w:rsid w:val="005A5D2F"/>
    <w:rsid w:val="005B4091"/>
    <w:rsid w:val="005C09E5"/>
    <w:rsid w:val="005C743A"/>
    <w:rsid w:val="005D6566"/>
    <w:rsid w:val="005F1009"/>
    <w:rsid w:val="005F5F7D"/>
    <w:rsid w:val="00601E5F"/>
    <w:rsid w:val="006029FA"/>
    <w:rsid w:val="00602E8D"/>
    <w:rsid w:val="00603013"/>
    <w:rsid w:val="00605234"/>
    <w:rsid w:val="006073F5"/>
    <w:rsid w:val="00612937"/>
    <w:rsid w:val="006151A6"/>
    <w:rsid w:val="00622A7E"/>
    <w:rsid w:val="00622EA3"/>
    <w:rsid w:val="006244B3"/>
    <w:rsid w:val="00625B0C"/>
    <w:rsid w:val="00627A07"/>
    <w:rsid w:val="00627BA7"/>
    <w:rsid w:val="00630161"/>
    <w:rsid w:val="00630B74"/>
    <w:rsid w:val="0063116C"/>
    <w:rsid w:val="006322F4"/>
    <w:rsid w:val="00633ECC"/>
    <w:rsid w:val="006414FA"/>
    <w:rsid w:val="00642EEA"/>
    <w:rsid w:val="0064348C"/>
    <w:rsid w:val="00644CF7"/>
    <w:rsid w:val="006470AA"/>
    <w:rsid w:val="00647896"/>
    <w:rsid w:val="0065508C"/>
    <w:rsid w:val="00657ACA"/>
    <w:rsid w:val="00660824"/>
    <w:rsid w:val="00665243"/>
    <w:rsid w:val="00665330"/>
    <w:rsid w:val="0066748A"/>
    <w:rsid w:val="006702F6"/>
    <w:rsid w:val="0067040E"/>
    <w:rsid w:val="00671D89"/>
    <w:rsid w:val="00681FAF"/>
    <w:rsid w:val="00683180"/>
    <w:rsid w:val="0068528F"/>
    <w:rsid w:val="00686BE3"/>
    <w:rsid w:val="00691003"/>
    <w:rsid w:val="00691834"/>
    <w:rsid w:val="00691851"/>
    <w:rsid w:val="006957E5"/>
    <w:rsid w:val="00695917"/>
    <w:rsid w:val="00696047"/>
    <w:rsid w:val="00696A78"/>
    <w:rsid w:val="0069732E"/>
    <w:rsid w:val="006978F2"/>
    <w:rsid w:val="006A4857"/>
    <w:rsid w:val="006A60CE"/>
    <w:rsid w:val="006B02EC"/>
    <w:rsid w:val="006B0A74"/>
    <w:rsid w:val="006B7CC4"/>
    <w:rsid w:val="006B7CF3"/>
    <w:rsid w:val="006C36F2"/>
    <w:rsid w:val="006C5EED"/>
    <w:rsid w:val="006C60A2"/>
    <w:rsid w:val="006C69D7"/>
    <w:rsid w:val="006C7BA5"/>
    <w:rsid w:val="006D45D9"/>
    <w:rsid w:val="006D512D"/>
    <w:rsid w:val="006D6235"/>
    <w:rsid w:val="006D75E4"/>
    <w:rsid w:val="006D7661"/>
    <w:rsid w:val="006E0C03"/>
    <w:rsid w:val="006E11FB"/>
    <w:rsid w:val="006E198B"/>
    <w:rsid w:val="006E71B8"/>
    <w:rsid w:val="006E7436"/>
    <w:rsid w:val="006E7E24"/>
    <w:rsid w:val="006F06A4"/>
    <w:rsid w:val="006F1B57"/>
    <w:rsid w:val="006F31CE"/>
    <w:rsid w:val="006F77D1"/>
    <w:rsid w:val="00706988"/>
    <w:rsid w:val="00712D6D"/>
    <w:rsid w:val="00714EEE"/>
    <w:rsid w:val="007220AD"/>
    <w:rsid w:val="0072223C"/>
    <w:rsid w:val="0072364A"/>
    <w:rsid w:val="00724F5C"/>
    <w:rsid w:val="00732D69"/>
    <w:rsid w:val="00733261"/>
    <w:rsid w:val="0074473C"/>
    <w:rsid w:val="00745B19"/>
    <w:rsid w:val="0075112D"/>
    <w:rsid w:val="0075273A"/>
    <w:rsid w:val="00753E0D"/>
    <w:rsid w:val="00755820"/>
    <w:rsid w:val="007606CF"/>
    <w:rsid w:val="007618BD"/>
    <w:rsid w:val="007634D8"/>
    <w:rsid w:val="007664D8"/>
    <w:rsid w:val="00767B49"/>
    <w:rsid w:val="0077108F"/>
    <w:rsid w:val="0077471B"/>
    <w:rsid w:val="00776C45"/>
    <w:rsid w:val="00776D50"/>
    <w:rsid w:val="00777A01"/>
    <w:rsid w:val="00777E93"/>
    <w:rsid w:val="00783A54"/>
    <w:rsid w:val="00786B3C"/>
    <w:rsid w:val="00792967"/>
    <w:rsid w:val="00793819"/>
    <w:rsid w:val="00793E62"/>
    <w:rsid w:val="0079743A"/>
    <w:rsid w:val="00797F3F"/>
    <w:rsid w:val="007A1A0C"/>
    <w:rsid w:val="007A6DE4"/>
    <w:rsid w:val="007B35AB"/>
    <w:rsid w:val="007B72DE"/>
    <w:rsid w:val="007B7954"/>
    <w:rsid w:val="007B7CB0"/>
    <w:rsid w:val="007C7CC8"/>
    <w:rsid w:val="007D5EB9"/>
    <w:rsid w:val="007D696D"/>
    <w:rsid w:val="007E07F0"/>
    <w:rsid w:val="007E0C8D"/>
    <w:rsid w:val="007E0C9C"/>
    <w:rsid w:val="007E5BEE"/>
    <w:rsid w:val="007E602D"/>
    <w:rsid w:val="007F1F59"/>
    <w:rsid w:val="007F24AD"/>
    <w:rsid w:val="007F3B9C"/>
    <w:rsid w:val="007F3CA0"/>
    <w:rsid w:val="00806B4B"/>
    <w:rsid w:val="00806CEC"/>
    <w:rsid w:val="00807E44"/>
    <w:rsid w:val="008130FC"/>
    <w:rsid w:val="00816931"/>
    <w:rsid w:val="00817450"/>
    <w:rsid w:val="008237B2"/>
    <w:rsid w:val="00824764"/>
    <w:rsid w:val="00826FD5"/>
    <w:rsid w:val="0082718E"/>
    <w:rsid w:val="00830303"/>
    <w:rsid w:val="00830AD4"/>
    <w:rsid w:val="0083281C"/>
    <w:rsid w:val="00835ECB"/>
    <w:rsid w:val="00840E75"/>
    <w:rsid w:val="008414E4"/>
    <w:rsid w:val="00843B5B"/>
    <w:rsid w:val="00844897"/>
    <w:rsid w:val="008469DF"/>
    <w:rsid w:val="00850550"/>
    <w:rsid w:val="0085212A"/>
    <w:rsid w:val="008535E1"/>
    <w:rsid w:val="008610EE"/>
    <w:rsid w:val="008623E8"/>
    <w:rsid w:val="00872F00"/>
    <w:rsid w:val="00873BCB"/>
    <w:rsid w:val="008838C9"/>
    <w:rsid w:val="00883EC0"/>
    <w:rsid w:val="00885490"/>
    <w:rsid w:val="008872E9"/>
    <w:rsid w:val="0089086C"/>
    <w:rsid w:val="00891DD0"/>
    <w:rsid w:val="00895F92"/>
    <w:rsid w:val="008A0DD5"/>
    <w:rsid w:val="008A560B"/>
    <w:rsid w:val="008A604E"/>
    <w:rsid w:val="008B0AEC"/>
    <w:rsid w:val="008B20B3"/>
    <w:rsid w:val="008B36E4"/>
    <w:rsid w:val="008B4A78"/>
    <w:rsid w:val="008B5732"/>
    <w:rsid w:val="008C34EC"/>
    <w:rsid w:val="008D031B"/>
    <w:rsid w:val="008D175F"/>
    <w:rsid w:val="008D27D7"/>
    <w:rsid w:val="008F7B46"/>
    <w:rsid w:val="00907FE2"/>
    <w:rsid w:val="00910878"/>
    <w:rsid w:val="009112B1"/>
    <w:rsid w:val="00911B56"/>
    <w:rsid w:val="009124BD"/>
    <w:rsid w:val="00912625"/>
    <w:rsid w:val="00914CCB"/>
    <w:rsid w:val="009206DE"/>
    <w:rsid w:val="00935BB9"/>
    <w:rsid w:val="00940079"/>
    <w:rsid w:val="0094264C"/>
    <w:rsid w:val="009426FD"/>
    <w:rsid w:val="00942F38"/>
    <w:rsid w:val="0095106A"/>
    <w:rsid w:val="00955D5E"/>
    <w:rsid w:val="00957A3B"/>
    <w:rsid w:val="00964CCB"/>
    <w:rsid w:val="00965E73"/>
    <w:rsid w:val="00966EED"/>
    <w:rsid w:val="009705AD"/>
    <w:rsid w:val="00970A51"/>
    <w:rsid w:val="00971051"/>
    <w:rsid w:val="0097126B"/>
    <w:rsid w:val="009736D6"/>
    <w:rsid w:val="00986A39"/>
    <w:rsid w:val="009870CF"/>
    <w:rsid w:val="009A0696"/>
    <w:rsid w:val="009A3E9D"/>
    <w:rsid w:val="009A57A8"/>
    <w:rsid w:val="009A6158"/>
    <w:rsid w:val="009A630C"/>
    <w:rsid w:val="009A6D3C"/>
    <w:rsid w:val="009B067D"/>
    <w:rsid w:val="009B08FE"/>
    <w:rsid w:val="009B0F89"/>
    <w:rsid w:val="009C093D"/>
    <w:rsid w:val="009C094F"/>
    <w:rsid w:val="009C0D33"/>
    <w:rsid w:val="009C251E"/>
    <w:rsid w:val="009C5588"/>
    <w:rsid w:val="009C61FA"/>
    <w:rsid w:val="009D0408"/>
    <w:rsid w:val="009D332B"/>
    <w:rsid w:val="009D716C"/>
    <w:rsid w:val="009D75DC"/>
    <w:rsid w:val="009E0CA2"/>
    <w:rsid w:val="009E146A"/>
    <w:rsid w:val="009F0A00"/>
    <w:rsid w:val="009F36AA"/>
    <w:rsid w:val="009F45DB"/>
    <w:rsid w:val="009F478E"/>
    <w:rsid w:val="00A014C1"/>
    <w:rsid w:val="00A108E6"/>
    <w:rsid w:val="00A11559"/>
    <w:rsid w:val="00A21394"/>
    <w:rsid w:val="00A21B26"/>
    <w:rsid w:val="00A241D9"/>
    <w:rsid w:val="00A25DD8"/>
    <w:rsid w:val="00A262DE"/>
    <w:rsid w:val="00A27ECF"/>
    <w:rsid w:val="00A30124"/>
    <w:rsid w:val="00A310C8"/>
    <w:rsid w:val="00A3123B"/>
    <w:rsid w:val="00A3304F"/>
    <w:rsid w:val="00A3683D"/>
    <w:rsid w:val="00A37F76"/>
    <w:rsid w:val="00A401E9"/>
    <w:rsid w:val="00A42163"/>
    <w:rsid w:val="00A449B8"/>
    <w:rsid w:val="00A463DF"/>
    <w:rsid w:val="00A46538"/>
    <w:rsid w:val="00A521A8"/>
    <w:rsid w:val="00A56DC0"/>
    <w:rsid w:val="00A573E3"/>
    <w:rsid w:val="00A60BC8"/>
    <w:rsid w:val="00A67C17"/>
    <w:rsid w:val="00A70C7B"/>
    <w:rsid w:val="00A726D6"/>
    <w:rsid w:val="00A82AB2"/>
    <w:rsid w:val="00A87373"/>
    <w:rsid w:val="00A90523"/>
    <w:rsid w:val="00A92D49"/>
    <w:rsid w:val="00A94041"/>
    <w:rsid w:val="00AA1CEE"/>
    <w:rsid w:val="00AA3587"/>
    <w:rsid w:val="00AA481E"/>
    <w:rsid w:val="00AA53D6"/>
    <w:rsid w:val="00AB25CF"/>
    <w:rsid w:val="00AB78ED"/>
    <w:rsid w:val="00AC46A2"/>
    <w:rsid w:val="00AD6C12"/>
    <w:rsid w:val="00AD790C"/>
    <w:rsid w:val="00AE059F"/>
    <w:rsid w:val="00AE0E73"/>
    <w:rsid w:val="00AE16CD"/>
    <w:rsid w:val="00AE4A00"/>
    <w:rsid w:val="00AF22EA"/>
    <w:rsid w:val="00AF369A"/>
    <w:rsid w:val="00AF4959"/>
    <w:rsid w:val="00AF60FA"/>
    <w:rsid w:val="00B02E68"/>
    <w:rsid w:val="00B05520"/>
    <w:rsid w:val="00B06A74"/>
    <w:rsid w:val="00B06EC1"/>
    <w:rsid w:val="00B072BF"/>
    <w:rsid w:val="00B07DC6"/>
    <w:rsid w:val="00B1045F"/>
    <w:rsid w:val="00B11B28"/>
    <w:rsid w:val="00B1306D"/>
    <w:rsid w:val="00B16679"/>
    <w:rsid w:val="00B30C1C"/>
    <w:rsid w:val="00B31996"/>
    <w:rsid w:val="00B32727"/>
    <w:rsid w:val="00B33419"/>
    <w:rsid w:val="00B34AA6"/>
    <w:rsid w:val="00B36306"/>
    <w:rsid w:val="00B36F43"/>
    <w:rsid w:val="00B37FF5"/>
    <w:rsid w:val="00B400E5"/>
    <w:rsid w:val="00B41ABE"/>
    <w:rsid w:val="00B47A08"/>
    <w:rsid w:val="00B557AE"/>
    <w:rsid w:val="00B56817"/>
    <w:rsid w:val="00B57C9B"/>
    <w:rsid w:val="00B60D88"/>
    <w:rsid w:val="00B618E0"/>
    <w:rsid w:val="00B70460"/>
    <w:rsid w:val="00B718DC"/>
    <w:rsid w:val="00B72214"/>
    <w:rsid w:val="00B85620"/>
    <w:rsid w:val="00B87CDC"/>
    <w:rsid w:val="00B90633"/>
    <w:rsid w:val="00B94825"/>
    <w:rsid w:val="00BA5730"/>
    <w:rsid w:val="00BA5A60"/>
    <w:rsid w:val="00BA5EF1"/>
    <w:rsid w:val="00BB1D85"/>
    <w:rsid w:val="00BB2E40"/>
    <w:rsid w:val="00BB39C6"/>
    <w:rsid w:val="00BC15AA"/>
    <w:rsid w:val="00BC33EE"/>
    <w:rsid w:val="00BC3716"/>
    <w:rsid w:val="00BC40DA"/>
    <w:rsid w:val="00BD0706"/>
    <w:rsid w:val="00BD1BB8"/>
    <w:rsid w:val="00BD4469"/>
    <w:rsid w:val="00BD5442"/>
    <w:rsid w:val="00BD5FF0"/>
    <w:rsid w:val="00BD64D8"/>
    <w:rsid w:val="00BE01B8"/>
    <w:rsid w:val="00BE0BD4"/>
    <w:rsid w:val="00BE490B"/>
    <w:rsid w:val="00BE4F83"/>
    <w:rsid w:val="00BE568B"/>
    <w:rsid w:val="00BE5884"/>
    <w:rsid w:val="00BF0050"/>
    <w:rsid w:val="00BF10D8"/>
    <w:rsid w:val="00BF1FB7"/>
    <w:rsid w:val="00BF3647"/>
    <w:rsid w:val="00BF58A8"/>
    <w:rsid w:val="00BF627B"/>
    <w:rsid w:val="00C020F8"/>
    <w:rsid w:val="00C03994"/>
    <w:rsid w:val="00C11028"/>
    <w:rsid w:val="00C12DB9"/>
    <w:rsid w:val="00C16864"/>
    <w:rsid w:val="00C17FB2"/>
    <w:rsid w:val="00C30E70"/>
    <w:rsid w:val="00C313FA"/>
    <w:rsid w:val="00C32CB1"/>
    <w:rsid w:val="00C36C54"/>
    <w:rsid w:val="00C430B0"/>
    <w:rsid w:val="00C545C9"/>
    <w:rsid w:val="00C55EC7"/>
    <w:rsid w:val="00C612B0"/>
    <w:rsid w:val="00C6291E"/>
    <w:rsid w:val="00C63B1A"/>
    <w:rsid w:val="00C67A2F"/>
    <w:rsid w:val="00C714AE"/>
    <w:rsid w:val="00C74A9B"/>
    <w:rsid w:val="00C75171"/>
    <w:rsid w:val="00C7733D"/>
    <w:rsid w:val="00C87634"/>
    <w:rsid w:val="00C8785D"/>
    <w:rsid w:val="00C87E6F"/>
    <w:rsid w:val="00C9007F"/>
    <w:rsid w:val="00C910E5"/>
    <w:rsid w:val="00C917B5"/>
    <w:rsid w:val="00C94498"/>
    <w:rsid w:val="00C97B0A"/>
    <w:rsid w:val="00CA0BFF"/>
    <w:rsid w:val="00CA60B4"/>
    <w:rsid w:val="00CA617F"/>
    <w:rsid w:val="00CA68E6"/>
    <w:rsid w:val="00CA7390"/>
    <w:rsid w:val="00CB1CB0"/>
    <w:rsid w:val="00CB54FF"/>
    <w:rsid w:val="00CB78FD"/>
    <w:rsid w:val="00CB7AD5"/>
    <w:rsid w:val="00CC354C"/>
    <w:rsid w:val="00CD1481"/>
    <w:rsid w:val="00CD1B10"/>
    <w:rsid w:val="00CD3D3A"/>
    <w:rsid w:val="00CD3DCB"/>
    <w:rsid w:val="00CD7A73"/>
    <w:rsid w:val="00CE2342"/>
    <w:rsid w:val="00CE382A"/>
    <w:rsid w:val="00CE40AE"/>
    <w:rsid w:val="00CE4629"/>
    <w:rsid w:val="00CE5708"/>
    <w:rsid w:val="00CF77F1"/>
    <w:rsid w:val="00D01EA6"/>
    <w:rsid w:val="00D061CF"/>
    <w:rsid w:val="00D149B3"/>
    <w:rsid w:val="00D23A9F"/>
    <w:rsid w:val="00D2420C"/>
    <w:rsid w:val="00D2632C"/>
    <w:rsid w:val="00D2670D"/>
    <w:rsid w:val="00D3190A"/>
    <w:rsid w:val="00D34351"/>
    <w:rsid w:val="00D34F95"/>
    <w:rsid w:val="00D36982"/>
    <w:rsid w:val="00D40512"/>
    <w:rsid w:val="00D42656"/>
    <w:rsid w:val="00D42F27"/>
    <w:rsid w:val="00D45ED8"/>
    <w:rsid w:val="00D508D6"/>
    <w:rsid w:val="00D51001"/>
    <w:rsid w:val="00D511CE"/>
    <w:rsid w:val="00D52486"/>
    <w:rsid w:val="00D54383"/>
    <w:rsid w:val="00D6121A"/>
    <w:rsid w:val="00D616D2"/>
    <w:rsid w:val="00D622F5"/>
    <w:rsid w:val="00D649C0"/>
    <w:rsid w:val="00D65A1F"/>
    <w:rsid w:val="00D65EC1"/>
    <w:rsid w:val="00D66C43"/>
    <w:rsid w:val="00D6770E"/>
    <w:rsid w:val="00D67AC2"/>
    <w:rsid w:val="00D738F3"/>
    <w:rsid w:val="00D74A01"/>
    <w:rsid w:val="00D74EA9"/>
    <w:rsid w:val="00D75D22"/>
    <w:rsid w:val="00D76ACD"/>
    <w:rsid w:val="00D802AC"/>
    <w:rsid w:val="00D95319"/>
    <w:rsid w:val="00D95395"/>
    <w:rsid w:val="00D975CA"/>
    <w:rsid w:val="00DA1618"/>
    <w:rsid w:val="00DA3C93"/>
    <w:rsid w:val="00DA500C"/>
    <w:rsid w:val="00DA5624"/>
    <w:rsid w:val="00DB018E"/>
    <w:rsid w:val="00DB1CAE"/>
    <w:rsid w:val="00DB2C51"/>
    <w:rsid w:val="00DB3242"/>
    <w:rsid w:val="00DB3F7B"/>
    <w:rsid w:val="00DB56A9"/>
    <w:rsid w:val="00DC0A20"/>
    <w:rsid w:val="00DC226A"/>
    <w:rsid w:val="00DC74C4"/>
    <w:rsid w:val="00DD141A"/>
    <w:rsid w:val="00DD1746"/>
    <w:rsid w:val="00DD19AE"/>
    <w:rsid w:val="00DD3577"/>
    <w:rsid w:val="00DD48F1"/>
    <w:rsid w:val="00DD5E0A"/>
    <w:rsid w:val="00DE06C7"/>
    <w:rsid w:val="00DE3FF0"/>
    <w:rsid w:val="00DE5834"/>
    <w:rsid w:val="00DF0F92"/>
    <w:rsid w:val="00DF6EA2"/>
    <w:rsid w:val="00E024FB"/>
    <w:rsid w:val="00E045D8"/>
    <w:rsid w:val="00E17163"/>
    <w:rsid w:val="00E23C67"/>
    <w:rsid w:val="00E26045"/>
    <w:rsid w:val="00E26EFA"/>
    <w:rsid w:val="00E27329"/>
    <w:rsid w:val="00E331DE"/>
    <w:rsid w:val="00E3534D"/>
    <w:rsid w:val="00E35B36"/>
    <w:rsid w:val="00E3780E"/>
    <w:rsid w:val="00E4075F"/>
    <w:rsid w:val="00E43501"/>
    <w:rsid w:val="00E44F80"/>
    <w:rsid w:val="00E45FB4"/>
    <w:rsid w:val="00E475AD"/>
    <w:rsid w:val="00E53BD3"/>
    <w:rsid w:val="00E6381E"/>
    <w:rsid w:val="00E66F6E"/>
    <w:rsid w:val="00E67F7D"/>
    <w:rsid w:val="00E74418"/>
    <w:rsid w:val="00E7504D"/>
    <w:rsid w:val="00E7550D"/>
    <w:rsid w:val="00E76350"/>
    <w:rsid w:val="00E76D53"/>
    <w:rsid w:val="00E77A88"/>
    <w:rsid w:val="00E80ACF"/>
    <w:rsid w:val="00E83EE8"/>
    <w:rsid w:val="00E86414"/>
    <w:rsid w:val="00E90D78"/>
    <w:rsid w:val="00E91F96"/>
    <w:rsid w:val="00E97497"/>
    <w:rsid w:val="00EA1B68"/>
    <w:rsid w:val="00EA3AD6"/>
    <w:rsid w:val="00EA3CEA"/>
    <w:rsid w:val="00EA78A0"/>
    <w:rsid w:val="00EB61ED"/>
    <w:rsid w:val="00EB75D4"/>
    <w:rsid w:val="00EB7B81"/>
    <w:rsid w:val="00EC19E8"/>
    <w:rsid w:val="00EC448E"/>
    <w:rsid w:val="00EC5237"/>
    <w:rsid w:val="00EC7A84"/>
    <w:rsid w:val="00ED1CC5"/>
    <w:rsid w:val="00ED5E3C"/>
    <w:rsid w:val="00EE1F6D"/>
    <w:rsid w:val="00EE3193"/>
    <w:rsid w:val="00EE5792"/>
    <w:rsid w:val="00EE6D81"/>
    <w:rsid w:val="00EE732E"/>
    <w:rsid w:val="00EF030A"/>
    <w:rsid w:val="00EF6B26"/>
    <w:rsid w:val="00F00918"/>
    <w:rsid w:val="00F023C1"/>
    <w:rsid w:val="00F054D2"/>
    <w:rsid w:val="00F10C06"/>
    <w:rsid w:val="00F117D0"/>
    <w:rsid w:val="00F26223"/>
    <w:rsid w:val="00F34555"/>
    <w:rsid w:val="00F369FC"/>
    <w:rsid w:val="00F4058F"/>
    <w:rsid w:val="00F40595"/>
    <w:rsid w:val="00F40E71"/>
    <w:rsid w:val="00F414FB"/>
    <w:rsid w:val="00F4474D"/>
    <w:rsid w:val="00F4593B"/>
    <w:rsid w:val="00F47ED3"/>
    <w:rsid w:val="00F47F3B"/>
    <w:rsid w:val="00F53C48"/>
    <w:rsid w:val="00F54326"/>
    <w:rsid w:val="00F607F0"/>
    <w:rsid w:val="00F62962"/>
    <w:rsid w:val="00F639FD"/>
    <w:rsid w:val="00F6424C"/>
    <w:rsid w:val="00F64F4E"/>
    <w:rsid w:val="00F6533B"/>
    <w:rsid w:val="00F657A5"/>
    <w:rsid w:val="00F67E1A"/>
    <w:rsid w:val="00F77D6E"/>
    <w:rsid w:val="00F803FC"/>
    <w:rsid w:val="00F82E73"/>
    <w:rsid w:val="00F82FD2"/>
    <w:rsid w:val="00F844E6"/>
    <w:rsid w:val="00F85273"/>
    <w:rsid w:val="00F8683B"/>
    <w:rsid w:val="00F87910"/>
    <w:rsid w:val="00F92FF4"/>
    <w:rsid w:val="00F93633"/>
    <w:rsid w:val="00FA154B"/>
    <w:rsid w:val="00FA253B"/>
    <w:rsid w:val="00FA5DD8"/>
    <w:rsid w:val="00FA6684"/>
    <w:rsid w:val="00FA6AC3"/>
    <w:rsid w:val="00FA78A7"/>
    <w:rsid w:val="00FB0257"/>
    <w:rsid w:val="00FB15DC"/>
    <w:rsid w:val="00FB23E9"/>
    <w:rsid w:val="00FB36E3"/>
    <w:rsid w:val="00FB6F57"/>
    <w:rsid w:val="00FC02F7"/>
    <w:rsid w:val="00FC3065"/>
    <w:rsid w:val="00FC4755"/>
    <w:rsid w:val="00FC49E6"/>
    <w:rsid w:val="00FC53D2"/>
    <w:rsid w:val="00FC5F9C"/>
    <w:rsid w:val="00FD2039"/>
    <w:rsid w:val="00FD6319"/>
    <w:rsid w:val="00FE1F36"/>
    <w:rsid w:val="00FE212C"/>
    <w:rsid w:val="00FE6127"/>
    <w:rsid w:val="00FE750B"/>
    <w:rsid w:val="00FF0731"/>
    <w:rsid w:val="00FF4BBE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716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120" w:after="120"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ind w:left="113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2D4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opisky">
    <w:name w:val="Popisky"/>
    <w:pPr>
      <w:autoSpaceDE w:val="0"/>
      <w:autoSpaceDN w:val="0"/>
    </w:pPr>
    <w:rPr>
      <w:rFonts w:ascii="Arial" w:hAnsi="Arial" w:cs="Arial"/>
    </w:rPr>
  </w:style>
  <w:style w:type="paragraph" w:styleId="Nzev">
    <w:name w:val="Title"/>
    <w:basedOn w:val="Normln"/>
    <w:qFormat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Zkladntextodsazen">
    <w:name w:val="Body Text Indent"/>
    <w:basedOn w:val="Normln"/>
    <w:pPr>
      <w:framePr w:hSpace="141" w:wrap="auto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</w:pPr>
    <w:rPr>
      <w:b/>
      <w:bCs/>
      <w:i/>
      <w:iCs/>
    </w:rPr>
  </w:style>
  <w:style w:type="paragraph" w:styleId="Zkladntextodsazen2">
    <w:name w:val="Body Text Indent 2"/>
    <w:basedOn w:val="Normln"/>
    <w:pPr>
      <w:autoSpaceDE w:val="0"/>
      <w:autoSpaceDN w:val="0"/>
      <w:spacing w:before="120" w:after="120" w:line="360" w:lineRule="auto"/>
      <w:ind w:firstLine="709"/>
      <w:jc w:val="both"/>
    </w:pPr>
  </w:style>
  <w:style w:type="paragraph" w:styleId="Zkladntext">
    <w:name w:val="Body Text"/>
    <w:basedOn w:val="Normln"/>
    <w:pPr>
      <w:autoSpaceDE w:val="0"/>
      <w:autoSpaceDN w:val="0"/>
      <w:spacing w:before="120" w:after="120" w:line="360" w:lineRule="auto"/>
      <w:jc w:val="both"/>
    </w:pPr>
  </w:style>
  <w:style w:type="paragraph" w:styleId="Zkladntextodsazen3">
    <w:name w:val="Body Text Indent 3"/>
    <w:basedOn w:val="Normln"/>
    <w:link w:val="Zkladntextodsazen3Char"/>
    <w:pPr>
      <w:spacing w:line="360" w:lineRule="auto"/>
      <w:ind w:firstLine="708"/>
      <w:jc w:val="both"/>
    </w:pPr>
  </w:style>
  <w:style w:type="paragraph" w:customStyle="1" w:styleId="BodyText2">
    <w:name w:val="Body Text 2"/>
    <w:basedOn w:val="Normln"/>
    <w:pPr>
      <w:spacing w:before="120" w:after="120" w:line="360" w:lineRule="auto"/>
      <w:ind w:firstLine="709"/>
      <w:jc w:val="both"/>
    </w:pPr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jc w:val="both"/>
    </w:pPr>
    <w:rPr>
      <w:sz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Normlnweb">
    <w:name w:val="Normal (Web)"/>
    <w:basedOn w:val="Normln"/>
    <w:rsid w:val="004E1F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8872E9"/>
    <w:rPr>
      <w:strike w:val="0"/>
      <w:dstrike w:val="0"/>
      <w:color w:val="065B9D"/>
      <w:u w:val="none"/>
      <w:effect w:val="none"/>
    </w:rPr>
  </w:style>
  <w:style w:type="character" w:customStyle="1" w:styleId="Zkladntextodsazen3Char">
    <w:name w:val="Základní text odsazený 3 Char"/>
    <w:link w:val="Zkladntextodsazen3"/>
    <w:rsid w:val="00BE490B"/>
    <w:rPr>
      <w:sz w:val="24"/>
      <w:szCs w:val="24"/>
    </w:rPr>
  </w:style>
  <w:style w:type="character" w:customStyle="1" w:styleId="Nadpis6Char">
    <w:name w:val="Nadpis 6 Char"/>
    <w:link w:val="Nadpis6"/>
    <w:semiHidden/>
    <w:rsid w:val="002D49A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2D49A7"/>
    <w:rPr>
      <w:b/>
      <w:bCs/>
    </w:rPr>
  </w:style>
  <w:style w:type="paragraph" w:styleId="Textbubliny">
    <w:name w:val="Balloon Text"/>
    <w:basedOn w:val="Normln"/>
    <w:link w:val="TextbublinyChar"/>
    <w:rsid w:val="00B11B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11B28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semiHidden/>
    <w:rsid w:val="00534944"/>
  </w:style>
  <w:style w:type="character" w:styleId="Odkaznakoment">
    <w:name w:val="annotation reference"/>
    <w:rsid w:val="00AD79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7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790C"/>
  </w:style>
  <w:style w:type="paragraph" w:styleId="Pedmtkomente">
    <w:name w:val="annotation subject"/>
    <w:basedOn w:val="Textkomente"/>
    <w:next w:val="Textkomente"/>
    <w:link w:val="PedmtkomenteChar"/>
    <w:rsid w:val="00AD790C"/>
    <w:rPr>
      <w:b/>
      <w:bCs/>
    </w:rPr>
  </w:style>
  <w:style w:type="character" w:customStyle="1" w:styleId="PedmtkomenteChar">
    <w:name w:val="Předmět komentáře Char"/>
    <w:link w:val="Pedmtkomente"/>
    <w:rsid w:val="00AD790C"/>
    <w:rPr>
      <w:b/>
      <w:bCs/>
    </w:rPr>
  </w:style>
  <w:style w:type="paragraph" w:styleId="Zhlav">
    <w:name w:val="header"/>
    <w:basedOn w:val="Normln"/>
    <w:link w:val="ZhlavChar"/>
    <w:uiPriority w:val="99"/>
    <w:rsid w:val="00BC33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33EE"/>
    <w:rPr>
      <w:sz w:val="24"/>
      <w:szCs w:val="24"/>
    </w:rPr>
  </w:style>
  <w:style w:type="paragraph" w:styleId="Odstavecseseznamem">
    <w:name w:val="List Paragraph"/>
    <w:basedOn w:val="Normln"/>
    <w:qFormat/>
    <w:rsid w:val="00DE5834"/>
    <w:pPr>
      <w:spacing w:before="120" w:after="120"/>
      <w:ind w:left="720" w:firstLine="284"/>
      <w:contextualSpacing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716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120" w:after="120"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ind w:left="113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2D4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opisky">
    <w:name w:val="Popisky"/>
    <w:pPr>
      <w:autoSpaceDE w:val="0"/>
      <w:autoSpaceDN w:val="0"/>
    </w:pPr>
    <w:rPr>
      <w:rFonts w:ascii="Arial" w:hAnsi="Arial" w:cs="Arial"/>
    </w:rPr>
  </w:style>
  <w:style w:type="paragraph" w:styleId="Nzev">
    <w:name w:val="Title"/>
    <w:basedOn w:val="Normln"/>
    <w:qFormat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Zkladntextodsazen">
    <w:name w:val="Body Text Indent"/>
    <w:basedOn w:val="Normln"/>
    <w:pPr>
      <w:framePr w:hSpace="141" w:wrap="auto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</w:pPr>
    <w:rPr>
      <w:b/>
      <w:bCs/>
      <w:i/>
      <w:iCs/>
    </w:rPr>
  </w:style>
  <w:style w:type="paragraph" w:styleId="Zkladntextodsazen2">
    <w:name w:val="Body Text Indent 2"/>
    <w:basedOn w:val="Normln"/>
    <w:pPr>
      <w:autoSpaceDE w:val="0"/>
      <w:autoSpaceDN w:val="0"/>
      <w:spacing w:before="120" w:after="120" w:line="360" w:lineRule="auto"/>
      <w:ind w:firstLine="709"/>
      <w:jc w:val="both"/>
    </w:pPr>
  </w:style>
  <w:style w:type="paragraph" w:styleId="Zkladntext">
    <w:name w:val="Body Text"/>
    <w:basedOn w:val="Normln"/>
    <w:pPr>
      <w:autoSpaceDE w:val="0"/>
      <w:autoSpaceDN w:val="0"/>
      <w:spacing w:before="120" w:after="120" w:line="360" w:lineRule="auto"/>
      <w:jc w:val="both"/>
    </w:pPr>
  </w:style>
  <w:style w:type="paragraph" w:styleId="Zkladntextodsazen3">
    <w:name w:val="Body Text Indent 3"/>
    <w:basedOn w:val="Normln"/>
    <w:link w:val="Zkladntextodsazen3Char"/>
    <w:pPr>
      <w:spacing w:line="360" w:lineRule="auto"/>
      <w:ind w:firstLine="708"/>
      <w:jc w:val="both"/>
    </w:pPr>
  </w:style>
  <w:style w:type="paragraph" w:customStyle="1" w:styleId="BodyText2">
    <w:name w:val="Body Text 2"/>
    <w:basedOn w:val="Normln"/>
    <w:pPr>
      <w:spacing w:before="120" w:after="120" w:line="360" w:lineRule="auto"/>
      <w:ind w:firstLine="709"/>
      <w:jc w:val="both"/>
    </w:pPr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jc w:val="both"/>
    </w:pPr>
    <w:rPr>
      <w:sz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Normlnweb">
    <w:name w:val="Normal (Web)"/>
    <w:basedOn w:val="Normln"/>
    <w:rsid w:val="004E1F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8872E9"/>
    <w:rPr>
      <w:strike w:val="0"/>
      <w:dstrike w:val="0"/>
      <w:color w:val="065B9D"/>
      <w:u w:val="none"/>
      <w:effect w:val="none"/>
    </w:rPr>
  </w:style>
  <w:style w:type="character" w:customStyle="1" w:styleId="Zkladntextodsazen3Char">
    <w:name w:val="Základní text odsazený 3 Char"/>
    <w:link w:val="Zkladntextodsazen3"/>
    <w:rsid w:val="00BE490B"/>
    <w:rPr>
      <w:sz w:val="24"/>
      <w:szCs w:val="24"/>
    </w:rPr>
  </w:style>
  <w:style w:type="character" w:customStyle="1" w:styleId="Nadpis6Char">
    <w:name w:val="Nadpis 6 Char"/>
    <w:link w:val="Nadpis6"/>
    <w:semiHidden/>
    <w:rsid w:val="002D49A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2D49A7"/>
    <w:rPr>
      <w:b/>
      <w:bCs/>
    </w:rPr>
  </w:style>
  <w:style w:type="paragraph" w:styleId="Textbubliny">
    <w:name w:val="Balloon Text"/>
    <w:basedOn w:val="Normln"/>
    <w:link w:val="TextbublinyChar"/>
    <w:rsid w:val="00B11B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11B28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semiHidden/>
    <w:rsid w:val="00534944"/>
  </w:style>
  <w:style w:type="character" w:styleId="Odkaznakoment">
    <w:name w:val="annotation reference"/>
    <w:rsid w:val="00AD79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7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790C"/>
  </w:style>
  <w:style w:type="paragraph" w:styleId="Pedmtkomente">
    <w:name w:val="annotation subject"/>
    <w:basedOn w:val="Textkomente"/>
    <w:next w:val="Textkomente"/>
    <w:link w:val="PedmtkomenteChar"/>
    <w:rsid w:val="00AD790C"/>
    <w:rPr>
      <w:b/>
      <w:bCs/>
    </w:rPr>
  </w:style>
  <w:style w:type="character" w:customStyle="1" w:styleId="PedmtkomenteChar">
    <w:name w:val="Předmět komentáře Char"/>
    <w:link w:val="Pedmtkomente"/>
    <w:rsid w:val="00AD790C"/>
    <w:rPr>
      <w:b/>
      <w:bCs/>
    </w:rPr>
  </w:style>
  <w:style w:type="paragraph" w:styleId="Zhlav">
    <w:name w:val="header"/>
    <w:basedOn w:val="Normln"/>
    <w:link w:val="ZhlavChar"/>
    <w:uiPriority w:val="99"/>
    <w:rsid w:val="00BC33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33EE"/>
    <w:rPr>
      <w:sz w:val="24"/>
      <w:szCs w:val="24"/>
    </w:rPr>
  </w:style>
  <w:style w:type="paragraph" w:styleId="Odstavecseseznamem">
    <w:name w:val="List Paragraph"/>
    <w:basedOn w:val="Normln"/>
    <w:qFormat/>
    <w:rsid w:val="00DE5834"/>
    <w:pPr>
      <w:spacing w:before="120" w:after="120"/>
      <w:ind w:left="720" w:firstLine="284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49A3-E70B-4BAD-AABA-1E5E9E1A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2996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OBCE č</vt:lpstr>
    </vt:vector>
  </TitlesOfParts>
  <Company>MF ČR</Company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OBCE č</dc:title>
  <dc:creator>Ministerstvo financí</dc:creator>
  <cp:lastModifiedBy>Matouskova Anna</cp:lastModifiedBy>
  <cp:revision>2</cp:revision>
  <cp:lastPrinted>2017-12-20T10:50:00Z</cp:lastPrinted>
  <dcterms:created xsi:type="dcterms:W3CDTF">2020-01-13T10:55:00Z</dcterms:created>
  <dcterms:modified xsi:type="dcterms:W3CDTF">2020-01-13T10:55:00Z</dcterms:modified>
</cp:coreProperties>
</file>